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8382A" w14:textId="768E4754" w:rsidR="002D3CB3" w:rsidRDefault="00C10DB0">
      <w:pPr>
        <w:pStyle w:val="Titleofpaper"/>
      </w:pPr>
      <w:r>
        <w:t>Urban Heritage: a transformative concept for the continuous city</w:t>
      </w:r>
    </w:p>
    <w:p w14:paraId="70BA16E6" w14:textId="4A9AB96B" w:rsidR="006C5433" w:rsidRDefault="00C10DB0">
      <w:pPr>
        <w:pStyle w:val="Authorsname"/>
      </w:pPr>
      <w:r>
        <w:t>Kasper Albrektsen</w:t>
      </w:r>
      <w:bookmarkStart w:id="0" w:name="_GoBack"/>
      <w:bookmarkEnd w:id="0"/>
    </w:p>
    <w:p w14:paraId="320DE1CA" w14:textId="2DA826C7" w:rsidR="002D3CB3" w:rsidRDefault="00C10DB0">
      <w:pPr>
        <w:pStyle w:val="Authorsaffiliation"/>
      </w:pPr>
      <w:r>
        <w:t>Aarhus School of Architecture &amp; Vejle Municipality</w:t>
      </w:r>
    </w:p>
    <w:p w14:paraId="599BD567" w14:textId="37C72676" w:rsidR="002D3CB3" w:rsidRDefault="00990EE8">
      <w:pPr>
        <w:pStyle w:val="EmailAddress"/>
        <w:rPr>
          <w:lang w:val="en-US"/>
        </w:rPr>
      </w:pPr>
      <w:proofErr w:type="gramStart"/>
      <w:r>
        <w:rPr>
          <w:rStyle w:val="AuthorsaffiliationChar"/>
        </w:rPr>
        <w:t>e-mail</w:t>
      </w:r>
      <w:proofErr w:type="gramEnd"/>
      <w:r>
        <w:rPr>
          <w:rStyle w:val="AuthorsaffiliationChar"/>
        </w:rPr>
        <w:t>:</w:t>
      </w:r>
      <w:r w:rsidR="00C10DB0">
        <w:rPr>
          <w:rStyle w:val="AuthorsaffiliationChar"/>
        </w:rPr>
        <w:t xml:space="preserve"> kal@aarch.dk</w:t>
      </w:r>
    </w:p>
    <w:p w14:paraId="7B49E693" w14:textId="72EB69F6" w:rsidR="00E272B9" w:rsidRDefault="00990EE8" w:rsidP="00C10DB0">
      <w:pPr>
        <w:pStyle w:val="Authorsaffiliation"/>
      </w:pPr>
      <w:r>
        <w:t>Phone number</w:t>
      </w:r>
      <w:r w:rsidR="00C10DB0">
        <w:t>: +45 52191610</w:t>
      </w:r>
    </w:p>
    <w:p w14:paraId="5D1F8E43" w14:textId="21666C07" w:rsidR="002D3CB3" w:rsidRDefault="00990EE8">
      <w:pPr>
        <w:pStyle w:val="Abstract"/>
        <w:rPr>
          <w:lang w:val="en-GB"/>
        </w:rPr>
      </w:pPr>
      <w:r>
        <w:t>An abstract not exceeding 250 words should be included.</w:t>
      </w:r>
      <w:r>
        <w:rPr>
          <w:lang w:val="en-GB"/>
        </w:rPr>
        <w:t xml:space="preserve"> Use the default font </w:t>
      </w:r>
      <w:r>
        <w:t>Arial</w:t>
      </w:r>
      <w:r>
        <w:rPr>
          <w:lang w:val="en-GB"/>
        </w:rPr>
        <w:t xml:space="preserve"> </w:t>
      </w:r>
      <w:r>
        <w:t>8</w:t>
      </w:r>
      <w:r>
        <w:rPr>
          <w:lang w:val="en-GB"/>
        </w:rPr>
        <w:t>pt.</w:t>
      </w:r>
    </w:p>
    <w:p w14:paraId="714AFB31" w14:textId="77777777" w:rsidR="00C10DB0" w:rsidRPr="00C10DB0" w:rsidRDefault="00C10DB0">
      <w:pPr>
        <w:pStyle w:val="Abstract"/>
        <w:rPr>
          <w:lang w:val="en-GB"/>
        </w:rPr>
      </w:pPr>
    </w:p>
    <w:p w14:paraId="02D597C8" w14:textId="6AC3782C" w:rsidR="00C10DB0" w:rsidRPr="00C10DB0" w:rsidRDefault="00990EE8" w:rsidP="00C10DB0">
      <w:pPr>
        <w:pStyle w:val="Keywordsbold"/>
        <w:rPr>
          <w:b w:val="0"/>
        </w:rPr>
      </w:pPr>
      <w:r>
        <w:t xml:space="preserve">Keywords: </w:t>
      </w:r>
      <w:r w:rsidR="00C10DB0" w:rsidRPr="00C10DB0">
        <w:rPr>
          <w:rStyle w:val="jlqj4b"/>
          <w:b w:val="0"/>
          <w:color w:val="000000" w:themeColor="text1"/>
        </w:rPr>
        <w:t>Urban he</w:t>
      </w:r>
      <w:r w:rsidR="00C10DB0">
        <w:rPr>
          <w:rStyle w:val="jlqj4b"/>
          <w:b w:val="0"/>
          <w:color w:val="000000" w:themeColor="text1"/>
        </w:rPr>
        <w:t>ritage;</w:t>
      </w:r>
      <w:r w:rsidR="00C10DB0" w:rsidRPr="00C10DB0">
        <w:rPr>
          <w:rStyle w:val="jlqj4b"/>
          <w:b w:val="0"/>
          <w:color w:val="000000" w:themeColor="text1"/>
        </w:rPr>
        <w:t xml:space="preserve"> conti</w:t>
      </w:r>
      <w:r w:rsidR="00C10DB0">
        <w:rPr>
          <w:rStyle w:val="jlqj4b"/>
          <w:b w:val="0"/>
          <w:color w:val="000000" w:themeColor="text1"/>
        </w:rPr>
        <w:t>nuation;</w:t>
      </w:r>
      <w:r w:rsidR="00C10DB0" w:rsidRPr="00C10DB0">
        <w:rPr>
          <w:rStyle w:val="jlqj4b"/>
          <w:b w:val="0"/>
          <w:color w:val="000000" w:themeColor="text1"/>
        </w:rPr>
        <w:t xml:space="preserve"> qualification</w:t>
      </w:r>
      <w:r w:rsidR="00C10DB0">
        <w:rPr>
          <w:rStyle w:val="jlqj4b"/>
          <w:b w:val="0"/>
          <w:color w:val="000000" w:themeColor="text1"/>
        </w:rPr>
        <w:t>;</w:t>
      </w:r>
      <w:r w:rsidR="00C10DB0" w:rsidRPr="00C10DB0">
        <w:rPr>
          <w:rStyle w:val="jlqj4b"/>
          <w:b w:val="0"/>
          <w:color w:val="000000" w:themeColor="text1"/>
        </w:rPr>
        <w:t xml:space="preserve"> valuation</w:t>
      </w:r>
      <w:r w:rsidR="00C10DB0" w:rsidRPr="00C10DB0">
        <w:rPr>
          <w:b w:val="0"/>
        </w:rPr>
        <w:t xml:space="preserve"> </w:t>
      </w:r>
    </w:p>
    <w:p w14:paraId="33C7C929" w14:textId="7DC17C97" w:rsidR="002D3CB3" w:rsidRDefault="00990EE8" w:rsidP="00C10DB0">
      <w:pPr>
        <w:pStyle w:val="Keywordsbold"/>
        <w:rPr>
          <w:b w:val="0"/>
        </w:rPr>
      </w:pPr>
      <w:r>
        <w:t xml:space="preserve">Theme </w:t>
      </w:r>
      <w:r>
        <w:rPr>
          <w:b w:val="0"/>
        </w:rPr>
        <w:t>(choose one of the following options):</w:t>
      </w:r>
    </w:p>
    <w:p w14:paraId="127CF5A6" w14:textId="77777777" w:rsidR="002D3CB3" w:rsidRDefault="002D3CB3">
      <w:pPr>
        <w:pStyle w:val="Abstract"/>
        <w:rPr>
          <w:b w:val="0"/>
        </w:rPr>
      </w:pPr>
    </w:p>
    <w:p w14:paraId="5EE8AD48" w14:textId="2678E103" w:rsidR="002D3CB3" w:rsidRDefault="00F82261">
      <w:pPr>
        <w:pStyle w:val="Abstract"/>
        <w:numPr>
          <w:ilvl w:val="0"/>
          <w:numId w:val="1"/>
        </w:numPr>
        <w:rPr>
          <w:b w:val="0"/>
        </w:rPr>
      </w:pPr>
      <w:r w:rsidRPr="00F82261">
        <w:rPr>
          <w:b w:val="0"/>
        </w:rPr>
        <w:t>Planning for the Bicycle: Supporting Human Scale Cities</w:t>
      </w:r>
      <w:r>
        <w:rPr>
          <w:b w:val="0"/>
        </w:rPr>
        <w:t xml:space="preserve">  </w:t>
      </w:r>
      <w:r w:rsidR="00990EE8">
        <w:rPr>
          <w:noProof/>
          <w:sz w:val="22"/>
          <w:lang w:val="da-DK" w:eastAsia="da-DK"/>
        </w:rPr>
        <mc:AlternateContent>
          <mc:Choice Requires="wps">
            <w:drawing>
              <wp:inline distT="0" distB="0" distL="0" distR="0" wp14:anchorId="4755E38E" wp14:editId="45078E76">
                <wp:extent cx="142875" cy="1333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48557A4" w14:textId="77777777" w:rsidR="002D3CB3" w:rsidRDefault="002D3C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55E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">
                <v:textbox inset="1mm,1mm,0,0">
                  <w:txbxContent>
                    <w:p w14:paraId="648557A4" w14:textId="77777777" w:rsidR="002D3CB3" w:rsidRDefault="002D3CB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0EE8">
        <w:rPr>
          <w:b w:val="0"/>
        </w:rPr>
        <w:t xml:space="preserve">                                    </w:t>
      </w:r>
    </w:p>
    <w:p w14:paraId="6A800891" w14:textId="77777777" w:rsidR="002D3CB3" w:rsidRDefault="002D3CB3">
      <w:pPr>
        <w:pStyle w:val="Abstract"/>
        <w:ind w:left="720"/>
        <w:rPr>
          <w:b w:val="0"/>
        </w:rPr>
      </w:pPr>
    </w:p>
    <w:p w14:paraId="4CD58249" w14:textId="0A3518AF" w:rsidR="002D3CB3" w:rsidRDefault="00E70656">
      <w:pPr>
        <w:pStyle w:val="Abstract"/>
        <w:numPr>
          <w:ilvl w:val="0"/>
          <w:numId w:val="1"/>
        </w:numPr>
        <w:rPr>
          <w:b w:val="0"/>
        </w:rPr>
      </w:pPr>
      <w:r w:rsidRPr="00E70656">
        <w:rPr>
          <w:b w:val="0"/>
        </w:rPr>
        <w:t>Urban form and the environment: Human Scale Planning</w:t>
      </w:r>
      <w:r>
        <w:rPr>
          <w:b w:val="0"/>
        </w:rPr>
        <w:t xml:space="preserve">  </w:t>
      </w:r>
      <w:r w:rsidR="00990EE8">
        <w:rPr>
          <w:noProof/>
          <w:sz w:val="22"/>
          <w:lang w:val="da-DK" w:eastAsia="da-DK"/>
        </w:rPr>
        <mc:AlternateContent>
          <mc:Choice Requires="wps">
            <w:drawing>
              <wp:inline distT="0" distB="0" distL="0" distR="0" wp14:anchorId="4DF12779" wp14:editId="3784284C">
                <wp:extent cx="142875" cy="133350"/>
                <wp:effectExtent l="0" t="0" r="28575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E5FE9CA" w14:textId="77777777" w:rsidR="002D3CB3" w:rsidRDefault="002D3C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12779" id="Text Box 5" o:spid="_x0000_s1027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">
                <v:textbox inset="1mm,1mm,0,0">
                  <w:txbxContent>
                    <w:p w14:paraId="6E5FE9CA" w14:textId="77777777" w:rsidR="002D3CB3" w:rsidRDefault="002D3CB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98D9F3" w14:textId="77777777" w:rsidR="002D3CB3" w:rsidRDefault="002D3CB3">
      <w:pPr>
        <w:pStyle w:val="ListParagraph1"/>
        <w:rPr>
          <w:b/>
        </w:rPr>
      </w:pPr>
    </w:p>
    <w:p w14:paraId="32EE2AF3" w14:textId="447E592C" w:rsidR="002D3CB3" w:rsidRDefault="00E70656">
      <w:pPr>
        <w:pStyle w:val="Abstract"/>
        <w:numPr>
          <w:ilvl w:val="0"/>
          <w:numId w:val="1"/>
        </w:numPr>
        <w:rPr>
          <w:b w:val="0"/>
        </w:rPr>
      </w:pPr>
      <w:r w:rsidRPr="00C10DB0">
        <w:t>Transformative Planning and Well-being: Human Scale Governance Arrangements</w:t>
      </w:r>
      <w:r>
        <w:rPr>
          <w:b w:val="0"/>
        </w:rPr>
        <w:t xml:space="preserve"> </w:t>
      </w:r>
      <w:r w:rsidR="00990EE8">
        <w:rPr>
          <w:b w:val="0"/>
        </w:rPr>
        <w:t xml:space="preserve"> </w:t>
      </w:r>
      <w:r w:rsidR="00990EE8">
        <w:rPr>
          <w:noProof/>
          <w:sz w:val="22"/>
          <w:lang w:val="da-DK" w:eastAsia="da-DK"/>
        </w:rPr>
        <mc:AlternateContent>
          <mc:Choice Requires="wps">
            <w:drawing>
              <wp:inline distT="0" distB="0" distL="0" distR="0" wp14:anchorId="640AAF31" wp14:editId="08EFE4DD">
                <wp:extent cx="142875" cy="133350"/>
                <wp:effectExtent l="0" t="0" r="28575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3662355" w14:textId="5F2BE165" w:rsidR="002D3CB3" w:rsidRDefault="00CA66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AAF31" id="Text Box 6" o:spid="_x0000_s1028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">
                <v:textbox inset="1mm,1mm,0,0">
                  <w:txbxContent>
                    <w:p w14:paraId="73662355" w14:textId="5F2BE165" w:rsidR="002D3CB3" w:rsidRDefault="00CA663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666C4A" w14:textId="77777777" w:rsidR="002D3CB3" w:rsidRDefault="002D3CB3">
      <w:pPr>
        <w:pStyle w:val="ListParagraph1"/>
        <w:rPr>
          <w:b/>
        </w:rPr>
      </w:pPr>
    </w:p>
    <w:p w14:paraId="645528D3" w14:textId="55C181BE" w:rsidR="002D3CB3" w:rsidRDefault="00E70656">
      <w:pPr>
        <w:pStyle w:val="Abstract"/>
        <w:numPr>
          <w:ilvl w:val="0"/>
          <w:numId w:val="1"/>
        </w:numPr>
        <w:rPr>
          <w:b w:val="0"/>
        </w:rPr>
      </w:pPr>
      <w:r w:rsidRPr="00E70656">
        <w:rPr>
          <w:b w:val="0"/>
        </w:rPr>
        <w:t xml:space="preserve">Transport Engineering and Planning: Human </w:t>
      </w:r>
      <w:r w:rsidR="008B19CD">
        <w:rPr>
          <w:b w:val="0"/>
        </w:rPr>
        <w:t>S</w:t>
      </w:r>
      <w:r w:rsidRPr="00E70656">
        <w:rPr>
          <w:b w:val="0"/>
        </w:rPr>
        <w:t xml:space="preserve">cale </w:t>
      </w:r>
      <w:r w:rsidR="008B19CD">
        <w:rPr>
          <w:b w:val="0"/>
        </w:rPr>
        <w:t>M</w:t>
      </w:r>
      <w:r w:rsidRPr="00E70656">
        <w:rPr>
          <w:b w:val="0"/>
        </w:rPr>
        <w:t xml:space="preserve">obility </w:t>
      </w:r>
      <w:r w:rsidR="008B19CD">
        <w:rPr>
          <w:b w:val="0"/>
        </w:rPr>
        <w:t>S</w:t>
      </w:r>
      <w:r w:rsidRPr="00E70656">
        <w:rPr>
          <w:b w:val="0"/>
        </w:rPr>
        <w:t xml:space="preserve">ystems </w:t>
      </w:r>
      <w:r>
        <w:rPr>
          <w:b w:val="0"/>
        </w:rPr>
        <w:t xml:space="preserve"> </w:t>
      </w:r>
      <w:r w:rsidR="00990EE8">
        <w:rPr>
          <w:noProof/>
          <w:sz w:val="22"/>
          <w:lang w:val="da-DK" w:eastAsia="da-DK"/>
        </w:rPr>
        <mc:AlternateContent>
          <mc:Choice Requires="wps">
            <w:drawing>
              <wp:inline distT="0" distB="0" distL="0" distR="0" wp14:anchorId="762BA1A3" wp14:editId="02E4E2A1">
                <wp:extent cx="142875" cy="133350"/>
                <wp:effectExtent l="0" t="0" r="28575" b="190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3C258AC" w14:textId="77777777" w:rsidR="002D3CB3" w:rsidRDefault="002D3C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BA1A3" id="Text Box 7" o:spid="_x0000_s1029" type="#_x0000_t202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">
                <v:textbox inset="1mm,1mm,0,0">
                  <w:txbxContent>
                    <w:p w14:paraId="33C258AC" w14:textId="77777777" w:rsidR="002D3CB3" w:rsidRDefault="002D3CB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D0818C" w14:textId="77777777" w:rsidR="002D3CB3" w:rsidRDefault="002D3CB3">
      <w:pPr>
        <w:pStyle w:val="Abstract"/>
      </w:pPr>
    </w:p>
    <w:p w14:paraId="603B539F" w14:textId="77777777" w:rsidR="00C10DB0" w:rsidRDefault="00C10DB0">
      <w:pPr>
        <w:pStyle w:val="Abstract"/>
      </w:pPr>
    </w:p>
    <w:p w14:paraId="021168B7" w14:textId="77777777" w:rsidR="00C10DB0" w:rsidRDefault="00C10DB0">
      <w:pPr>
        <w:pStyle w:val="Abstract"/>
      </w:pPr>
    </w:p>
    <w:p w14:paraId="056DD728" w14:textId="77777777" w:rsidR="00C10DB0" w:rsidRDefault="00C10DB0">
      <w:pPr>
        <w:pStyle w:val="Abstract"/>
      </w:pPr>
    </w:p>
    <w:p w14:paraId="1FECC320" w14:textId="77777777" w:rsidR="00C10DB0" w:rsidRDefault="00C10DB0">
      <w:pPr>
        <w:pStyle w:val="Abstract"/>
      </w:pPr>
    </w:p>
    <w:p w14:paraId="613B94C5" w14:textId="77777777" w:rsidR="00C10DB0" w:rsidRDefault="00C10DB0">
      <w:pPr>
        <w:pStyle w:val="Abstract"/>
      </w:pPr>
    </w:p>
    <w:p w14:paraId="267677A6" w14:textId="77777777" w:rsidR="00C10DB0" w:rsidRDefault="00C10DB0">
      <w:pPr>
        <w:pStyle w:val="Abstract"/>
      </w:pPr>
    </w:p>
    <w:p w14:paraId="103F8AD9" w14:textId="77777777" w:rsidR="00C10DB0" w:rsidRDefault="00C10DB0">
      <w:pPr>
        <w:pStyle w:val="Abstract"/>
      </w:pPr>
    </w:p>
    <w:p w14:paraId="2FE9B0A3" w14:textId="77777777" w:rsidR="00C10DB0" w:rsidRDefault="00C10DB0">
      <w:pPr>
        <w:pStyle w:val="Abstract"/>
      </w:pPr>
    </w:p>
    <w:p w14:paraId="2259DE8C" w14:textId="77777777" w:rsidR="00C10DB0" w:rsidRDefault="00C10DB0">
      <w:pPr>
        <w:pStyle w:val="Abstract"/>
      </w:pPr>
    </w:p>
    <w:p w14:paraId="2D2CEBFD" w14:textId="77777777" w:rsidR="00C10DB0" w:rsidRDefault="00C10DB0">
      <w:pPr>
        <w:pStyle w:val="Abstract"/>
      </w:pPr>
    </w:p>
    <w:p w14:paraId="7706A123" w14:textId="60335ABD" w:rsidR="002D3CB3" w:rsidRDefault="00C10DB0">
      <w:pPr>
        <w:pStyle w:val="Abstract"/>
      </w:pPr>
      <w:r>
        <w:lastRenderedPageBreak/>
        <w:t>Abstract:</w:t>
      </w:r>
    </w:p>
    <w:p w14:paraId="60AFA9A4" w14:textId="77777777" w:rsidR="00C10DB0" w:rsidRPr="00C10DB0" w:rsidRDefault="00C10DB0" w:rsidP="00C10DB0">
      <w:pPr>
        <w:spacing w:after="0"/>
        <w:rPr>
          <w:rStyle w:val="jlqj4b"/>
          <w:rFonts w:ascii="Arial" w:hAnsi="Arial" w:cs="Arial"/>
          <w:sz w:val="16"/>
          <w:szCs w:val="16"/>
          <w:lang w:val="en-GB"/>
        </w:rPr>
      </w:pPr>
      <w:r w:rsidRPr="00C10DB0">
        <w:rPr>
          <w:rStyle w:val="jlqj4b"/>
          <w:rFonts w:ascii="Arial" w:hAnsi="Arial" w:cs="Arial"/>
          <w:sz w:val="16"/>
          <w:szCs w:val="16"/>
          <w:lang w:val="en-GB"/>
        </w:rPr>
        <w:t>Discussing the human scale of the city, we indirectly talks about the layers of the city - the temporal city.</w:t>
      </w:r>
      <w:r w:rsidRPr="00C10DB0">
        <w:rPr>
          <w:rStyle w:val="viiyi"/>
          <w:rFonts w:ascii="Arial" w:hAnsi="Arial" w:cs="Arial"/>
          <w:sz w:val="16"/>
          <w:szCs w:val="16"/>
          <w:lang w:val="en-GB"/>
        </w:rPr>
        <w:t xml:space="preserve"> </w:t>
      </w:r>
      <w:r w:rsidRPr="00C10DB0">
        <w:rPr>
          <w:rStyle w:val="jlqj4b"/>
          <w:rFonts w:ascii="Arial" w:hAnsi="Arial" w:cs="Arial"/>
          <w:sz w:val="16"/>
          <w:szCs w:val="16"/>
          <w:lang w:val="en-GB"/>
        </w:rPr>
        <w:t>Through the layers of the city - its urban heritage - we experience and understand not only the development of the city and society but also our own, through which we build an identity.</w:t>
      </w:r>
      <w:r w:rsidRPr="00C10DB0">
        <w:rPr>
          <w:rStyle w:val="viiyi"/>
          <w:rFonts w:ascii="Arial" w:hAnsi="Arial" w:cs="Arial"/>
          <w:sz w:val="16"/>
          <w:szCs w:val="16"/>
          <w:lang w:val="en-GB"/>
        </w:rPr>
        <w:t xml:space="preserve"> </w:t>
      </w:r>
      <w:r w:rsidRPr="00C10DB0">
        <w:rPr>
          <w:rStyle w:val="jlqj4b"/>
          <w:rFonts w:ascii="Arial" w:hAnsi="Arial" w:cs="Arial"/>
          <w:sz w:val="16"/>
          <w:szCs w:val="16"/>
          <w:lang w:val="en-GB"/>
        </w:rPr>
        <w:t>The perceived layers - atmospheric, tangible and intangible - are strongest in the urban areas where we can experience the continuous city.</w:t>
      </w:r>
    </w:p>
    <w:p w14:paraId="4E0BD3B1" w14:textId="77777777" w:rsidR="00C10DB0" w:rsidRPr="00C10DB0" w:rsidRDefault="00C10DB0" w:rsidP="00C10DB0">
      <w:pPr>
        <w:pStyle w:val="Overskrift2"/>
        <w:rPr>
          <w:rStyle w:val="jlqj4b"/>
          <w:rFonts w:ascii="Arial" w:hAnsi="Arial"/>
          <w:b w:val="0"/>
          <w:sz w:val="16"/>
          <w:szCs w:val="16"/>
        </w:rPr>
      </w:pPr>
      <w:r w:rsidRPr="00C10DB0">
        <w:rPr>
          <w:rStyle w:val="jlqj4b"/>
          <w:rFonts w:ascii="Arial" w:hAnsi="Arial"/>
          <w:b w:val="0"/>
          <w:sz w:val="16"/>
          <w:szCs w:val="16"/>
        </w:rPr>
        <w:t xml:space="preserve">The experience of continuity in the social and physical structures of the city ensure the human scale. It is through the experienced continuation – the continuum - that humans </w:t>
      </w:r>
      <w:proofErr w:type="gramStart"/>
      <w:r w:rsidRPr="00C10DB0">
        <w:rPr>
          <w:rStyle w:val="jlqj4b"/>
          <w:rFonts w:ascii="Arial" w:hAnsi="Arial"/>
          <w:b w:val="0"/>
          <w:sz w:val="16"/>
          <w:szCs w:val="16"/>
        </w:rPr>
        <w:t>are anchored</w:t>
      </w:r>
      <w:proofErr w:type="gramEnd"/>
      <w:r w:rsidRPr="00C10DB0">
        <w:rPr>
          <w:rStyle w:val="jlqj4b"/>
          <w:rFonts w:ascii="Arial" w:hAnsi="Arial"/>
          <w:b w:val="0"/>
          <w:sz w:val="16"/>
          <w:szCs w:val="16"/>
        </w:rPr>
        <w:t xml:space="preserve"> physically and mentally in the city. </w:t>
      </w:r>
    </w:p>
    <w:p w14:paraId="36C50258" w14:textId="77777777" w:rsidR="00C10DB0" w:rsidRPr="00C10DB0" w:rsidRDefault="00C10DB0" w:rsidP="00C10DB0">
      <w:pPr>
        <w:pStyle w:val="Overskrift2"/>
        <w:rPr>
          <w:rStyle w:val="jlqj4b"/>
          <w:rFonts w:ascii="Arial" w:hAnsi="Arial"/>
          <w:b w:val="0"/>
          <w:sz w:val="16"/>
          <w:szCs w:val="16"/>
        </w:rPr>
      </w:pPr>
      <w:r w:rsidRPr="00C10DB0">
        <w:rPr>
          <w:rStyle w:val="jlqj4b"/>
          <w:rFonts w:ascii="Arial" w:hAnsi="Arial"/>
          <w:b w:val="0"/>
          <w:sz w:val="16"/>
          <w:szCs w:val="16"/>
        </w:rPr>
        <w:t>This continuity in the development of the city, as a means of ensuring the human scale, formed the basis of my research on the transformation of a former working-class neighbourhood in the Danish city of Vejle.</w:t>
      </w:r>
    </w:p>
    <w:p w14:paraId="3EF7CA07" w14:textId="77777777" w:rsidR="00C10DB0" w:rsidRPr="00C10DB0" w:rsidRDefault="00C10DB0" w:rsidP="00C10DB0">
      <w:pPr>
        <w:pStyle w:val="Overskrift2"/>
        <w:rPr>
          <w:rStyle w:val="jlqj4b"/>
          <w:rFonts w:ascii="Arial" w:hAnsi="Arial"/>
          <w:b w:val="0"/>
          <w:sz w:val="16"/>
          <w:szCs w:val="16"/>
        </w:rPr>
      </w:pPr>
      <w:r w:rsidRPr="00C10DB0">
        <w:rPr>
          <w:rStyle w:val="jlqj4b"/>
          <w:rFonts w:ascii="Arial" w:hAnsi="Arial"/>
          <w:b w:val="0"/>
          <w:sz w:val="16"/>
          <w:szCs w:val="16"/>
        </w:rPr>
        <w:t xml:space="preserve">Through the research, I sought continuity and the human scale by introducing the urban heritage as a transformative concept. Based on the concept of qualification, I have investigated how to introduce urban heritage as a common understanding – a transformative concept - of a given area connecting civil, professionals and politicians in a qualification of urban heritage. </w:t>
      </w:r>
    </w:p>
    <w:p w14:paraId="430E4323" w14:textId="77777777" w:rsidR="00C10DB0" w:rsidRPr="00C10DB0" w:rsidRDefault="00C10DB0" w:rsidP="00C10DB0">
      <w:pPr>
        <w:pStyle w:val="Overskrift2"/>
        <w:rPr>
          <w:rFonts w:ascii="Arial" w:hAnsi="Arial"/>
          <w:b w:val="0"/>
          <w:sz w:val="16"/>
          <w:szCs w:val="16"/>
        </w:rPr>
      </w:pPr>
      <w:r w:rsidRPr="00C10DB0">
        <w:rPr>
          <w:rStyle w:val="jlqj4b"/>
          <w:rFonts w:ascii="Arial" w:hAnsi="Arial"/>
          <w:b w:val="0"/>
          <w:sz w:val="16"/>
          <w:szCs w:val="16"/>
        </w:rPr>
        <w:t>Today, we evaluate the urban heritage - what has value for tomorrow.</w:t>
      </w:r>
      <w:r w:rsidRPr="00C10DB0">
        <w:rPr>
          <w:rStyle w:val="viiyi"/>
          <w:rFonts w:ascii="Arial" w:hAnsi="Arial"/>
          <w:b w:val="0"/>
          <w:sz w:val="16"/>
          <w:szCs w:val="16"/>
        </w:rPr>
        <w:t xml:space="preserve"> </w:t>
      </w:r>
      <w:r w:rsidRPr="00C10DB0">
        <w:rPr>
          <w:rStyle w:val="jlqj4b"/>
          <w:rFonts w:ascii="Arial" w:hAnsi="Arial"/>
          <w:b w:val="0"/>
          <w:sz w:val="16"/>
          <w:szCs w:val="16"/>
        </w:rPr>
        <w:t>The purpose of the research is to investigate how a change towards qualification can introduced the urban heritage as a transformative concept creating the continuous city ensuring our own understanding and the human scale.</w:t>
      </w:r>
    </w:p>
    <w:p w14:paraId="5460AE47" w14:textId="77777777" w:rsidR="002D3CB3" w:rsidRPr="00C10DB0" w:rsidRDefault="002D3CB3">
      <w:pPr>
        <w:pStyle w:val="Abstract"/>
        <w:rPr>
          <w:lang w:val="en-GB"/>
        </w:rPr>
      </w:pPr>
    </w:p>
    <w:p w14:paraId="1C0ACFA8" w14:textId="77777777" w:rsidR="002D3CB3" w:rsidRDefault="002D3CB3">
      <w:pPr>
        <w:pStyle w:val="Abstract"/>
      </w:pPr>
    </w:p>
    <w:p w14:paraId="65CD2F27" w14:textId="77777777" w:rsidR="002D3CB3" w:rsidRDefault="002D3CB3">
      <w:pPr>
        <w:pStyle w:val="Abstract"/>
      </w:pPr>
    </w:p>
    <w:p w14:paraId="0B96E42E" w14:textId="77777777" w:rsidR="002D3CB3" w:rsidRDefault="002D3CB3">
      <w:pPr>
        <w:pStyle w:val="Abstract"/>
      </w:pPr>
    </w:p>
    <w:p w14:paraId="36BC799A" w14:textId="77777777" w:rsidR="002D3CB3" w:rsidRDefault="002D3CB3">
      <w:pPr>
        <w:pStyle w:val="Abstract"/>
      </w:pPr>
    </w:p>
    <w:p w14:paraId="7791C7F5" w14:textId="77777777" w:rsidR="002D3CB3" w:rsidRDefault="002D3CB3">
      <w:pPr>
        <w:pStyle w:val="Abstract"/>
      </w:pPr>
    </w:p>
    <w:p w14:paraId="2EB0F8FE" w14:textId="77777777" w:rsidR="002D3CB3" w:rsidRDefault="002D3CB3">
      <w:pPr>
        <w:pStyle w:val="Abstract"/>
      </w:pPr>
    </w:p>
    <w:p w14:paraId="564CECD5" w14:textId="6B6C8094" w:rsidR="002D3CB3" w:rsidRDefault="00990EE8">
      <w:pPr>
        <w:pStyle w:val="Abstract"/>
        <w:rPr>
          <w:sz w:val="20"/>
          <w:szCs w:val="20"/>
          <w:lang w:val="en-GB"/>
        </w:rPr>
      </w:pPr>
      <w:r>
        <w:t>Abstracts should be submitted (in Word Document Format) by e-mail to citta</w:t>
      </w:r>
      <w:r w:rsidR="00EC11E2">
        <w:t>20</w:t>
      </w:r>
      <w:r w:rsidR="00E70656">
        <w:t>21</w:t>
      </w:r>
      <w:r>
        <w:t>@fe.up.pt.</w:t>
      </w:r>
    </w:p>
    <w:p w14:paraId="602688EF" w14:textId="77777777" w:rsidR="002D3CB3" w:rsidRDefault="002D3CB3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sectPr w:rsidR="002D3CB3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268" w:right="1701" w:bottom="1701" w:left="226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82FF1" w14:textId="77777777" w:rsidR="00340C3A" w:rsidRDefault="00340C3A">
      <w:pPr>
        <w:spacing w:after="0" w:line="240" w:lineRule="auto"/>
      </w:pPr>
      <w:r>
        <w:separator/>
      </w:r>
    </w:p>
  </w:endnote>
  <w:endnote w:type="continuationSeparator" w:id="0">
    <w:p w14:paraId="30174884" w14:textId="77777777" w:rsidR="00340C3A" w:rsidRDefault="0034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5"/>
      <w:gridCol w:w="2645"/>
      <w:gridCol w:w="2645"/>
    </w:tblGrid>
    <w:tr w:rsidR="79C8AB9A" w14:paraId="0763899E" w14:textId="77777777" w:rsidTr="79C8AB9A">
      <w:tc>
        <w:tcPr>
          <w:tcW w:w="2645" w:type="dxa"/>
        </w:tcPr>
        <w:p w14:paraId="5BDF68DC" w14:textId="3C3C57C1" w:rsidR="79C8AB9A" w:rsidRDefault="79C8AB9A" w:rsidP="79C8AB9A">
          <w:pPr>
            <w:pStyle w:val="Sidehoved"/>
            <w:ind w:left="-115"/>
          </w:pPr>
        </w:p>
      </w:tc>
      <w:tc>
        <w:tcPr>
          <w:tcW w:w="2645" w:type="dxa"/>
        </w:tcPr>
        <w:p w14:paraId="5FD43F4D" w14:textId="3F44D74C" w:rsidR="79C8AB9A" w:rsidRDefault="79C8AB9A" w:rsidP="79C8AB9A">
          <w:pPr>
            <w:pStyle w:val="Sidehoved"/>
            <w:jc w:val="center"/>
          </w:pPr>
        </w:p>
      </w:tc>
      <w:tc>
        <w:tcPr>
          <w:tcW w:w="2645" w:type="dxa"/>
        </w:tcPr>
        <w:p w14:paraId="22E14C7A" w14:textId="6929CAD5" w:rsidR="79C8AB9A" w:rsidRDefault="79C8AB9A" w:rsidP="79C8AB9A">
          <w:pPr>
            <w:pStyle w:val="Sidehoved"/>
            <w:ind w:right="-115"/>
            <w:jc w:val="right"/>
          </w:pPr>
        </w:p>
      </w:tc>
    </w:tr>
  </w:tbl>
  <w:p w14:paraId="24DD7BF9" w14:textId="059DBC22" w:rsidR="79C8AB9A" w:rsidRDefault="79C8AB9A" w:rsidP="79C8AB9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5"/>
      <w:gridCol w:w="2645"/>
      <w:gridCol w:w="2645"/>
    </w:tblGrid>
    <w:tr w:rsidR="79C8AB9A" w14:paraId="41201025" w14:textId="77777777" w:rsidTr="79C8AB9A">
      <w:tc>
        <w:tcPr>
          <w:tcW w:w="2645" w:type="dxa"/>
        </w:tcPr>
        <w:p w14:paraId="641A51E6" w14:textId="32CB2730" w:rsidR="79C8AB9A" w:rsidRDefault="79C8AB9A" w:rsidP="79C8AB9A">
          <w:pPr>
            <w:pStyle w:val="Sidehoved"/>
            <w:ind w:left="-115"/>
          </w:pPr>
        </w:p>
      </w:tc>
      <w:tc>
        <w:tcPr>
          <w:tcW w:w="2645" w:type="dxa"/>
        </w:tcPr>
        <w:p w14:paraId="23449462" w14:textId="3BC72F73" w:rsidR="79C8AB9A" w:rsidRDefault="79C8AB9A" w:rsidP="79C8AB9A">
          <w:pPr>
            <w:pStyle w:val="Sidehoved"/>
            <w:jc w:val="center"/>
          </w:pPr>
        </w:p>
      </w:tc>
      <w:tc>
        <w:tcPr>
          <w:tcW w:w="2645" w:type="dxa"/>
        </w:tcPr>
        <w:p w14:paraId="2BAD8176" w14:textId="14A7042C" w:rsidR="79C8AB9A" w:rsidRDefault="79C8AB9A" w:rsidP="79C8AB9A">
          <w:pPr>
            <w:pStyle w:val="Sidehoved"/>
            <w:ind w:right="-115"/>
            <w:jc w:val="right"/>
          </w:pPr>
        </w:p>
      </w:tc>
    </w:tr>
  </w:tbl>
  <w:p w14:paraId="60732708" w14:textId="0177C5E6" w:rsidR="79C8AB9A" w:rsidRDefault="79C8AB9A" w:rsidP="79C8AB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D18E8" w14:textId="77777777" w:rsidR="00340C3A" w:rsidRDefault="00340C3A">
      <w:pPr>
        <w:spacing w:after="0" w:line="240" w:lineRule="auto"/>
      </w:pPr>
      <w:r>
        <w:separator/>
      </w:r>
    </w:p>
  </w:footnote>
  <w:footnote w:type="continuationSeparator" w:id="0">
    <w:p w14:paraId="071BEACB" w14:textId="77777777" w:rsidR="00340C3A" w:rsidRDefault="0034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37687" w14:textId="13403C29" w:rsidR="002D3CB3" w:rsidRDefault="00990EE8">
    <w:pPr>
      <w:pStyle w:val="Sidehoved"/>
      <w:framePr w:wrap="around" w:vAnchor="text" w:hAnchor="margin" w:xAlign="right" w:y="1"/>
      <w:rPr>
        <w:rStyle w:val="Sidetal"/>
        <w:rFonts w:ascii="Arial" w:hAnsi="Arial" w:cs="Arial"/>
        <w:sz w:val="14"/>
        <w:szCs w:val="14"/>
      </w:rPr>
    </w:pPr>
    <w:r>
      <w:rPr>
        <w:rStyle w:val="Sidetal"/>
        <w:rFonts w:ascii="Arial" w:hAnsi="Arial" w:cs="Arial"/>
        <w:sz w:val="14"/>
        <w:szCs w:val="14"/>
      </w:rPr>
      <w:fldChar w:fldCharType="begin"/>
    </w:r>
    <w:r>
      <w:rPr>
        <w:rStyle w:val="Sidetal"/>
        <w:rFonts w:ascii="Arial" w:hAnsi="Arial" w:cs="Arial"/>
        <w:sz w:val="14"/>
        <w:szCs w:val="14"/>
      </w:rPr>
      <w:instrText xml:space="preserve">PAGE  </w:instrText>
    </w:r>
    <w:r>
      <w:rPr>
        <w:rStyle w:val="Sidetal"/>
        <w:rFonts w:ascii="Arial" w:hAnsi="Arial" w:cs="Arial"/>
        <w:sz w:val="14"/>
        <w:szCs w:val="14"/>
      </w:rPr>
      <w:fldChar w:fldCharType="separate"/>
    </w:r>
    <w:r w:rsidR="006C5433">
      <w:rPr>
        <w:rStyle w:val="Sidetal"/>
        <w:rFonts w:ascii="Arial" w:hAnsi="Arial" w:cs="Arial"/>
        <w:noProof/>
        <w:sz w:val="14"/>
        <w:szCs w:val="14"/>
      </w:rPr>
      <w:t>2</w:t>
    </w:r>
    <w:r>
      <w:rPr>
        <w:rStyle w:val="Sidetal"/>
        <w:rFonts w:ascii="Arial" w:hAnsi="Arial" w:cs="Arial"/>
        <w:sz w:val="14"/>
        <w:szCs w:val="14"/>
      </w:rPr>
      <w:fldChar w:fldCharType="end"/>
    </w:r>
  </w:p>
  <w:p w14:paraId="03C70192" w14:textId="7916B523" w:rsidR="002D3CB3" w:rsidRDefault="00C10DB0">
    <w:pPr>
      <w:pStyle w:val="Sidehoved"/>
      <w:ind w:right="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en-GB"/>
      </w:rPr>
      <w:t xml:space="preserve">Kasper </w:t>
    </w:r>
    <w:proofErr w:type="gramStart"/>
    <w:r>
      <w:rPr>
        <w:rFonts w:ascii="Arial" w:hAnsi="Arial" w:cs="Arial"/>
        <w:sz w:val="14"/>
        <w:szCs w:val="14"/>
        <w:lang w:val="en-GB"/>
      </w:rPr>
      <w:t>Albrektsen</w:t>
    </w:r>
    <w:r w:rsidR="00990EE8">
      <w:rPr>
        <w:rFonts w:ascii="Arial" w:hAnsi="Arial" w:cs="Arial"/>
        <w:sz w:val="14"/>
        <w:szCs w:val="14"/>
        <w:lang w:val="en-GB"/>
      </w:rPr>
      <w:t xml:space="preserve"> </w:t>
    </w:r>
    <w:r w:rsidR="00990EE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i/>
        <w:sz w:val="14"/>
        <w:szCs w:val="14"/>
      </w:rPr>
      <w:t>Urban</w:t>
    </w:r>
    <w:proofErr w:type="gramEnd"/>
    <w:r>
      <w:rPr>
        <w:rFonts w:ascii="Arial" w:hAnsi="Arial" w:cs="Arial"/>
        <w:i/>
        <w:sz w:val="14"/>
        <w:szCs w:val="14"/>
      </w:rPr>
      <w:t xml:space="preserve"> Heritage: a transformative concept for the continuous city</w:t>
    </w:r>
  </w:p>
  <w:p w14:paraId="04940081" w14:textId="77777777" w:rsidR="002D3CB3" w:rsidRDefault="002D3CB3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5BA6" w14:textId="46467A8D" w:rsidR="002D3CB3" w:rsidRDefault="00990EE8">
    <w:pPr>
      <w:pStyle w:val="Sidehoved"/>
      <w:framePr w:wrap="around" w:vAnchor="text" w:hAnchor="margin" w:xAlign="right" w:y="1"/>
      <w:rPr>
        <w:rStyle w:val="Sidetal"/>
        <w:rFonts w:ascii="Arial" w:hAnsi="Arial" w:cs="Arial"/>
        <w:sz w:val="14"/>
        <w:szCs w:val="14"/>
      </w:rPr>
    </w:pPr>
    <w:r>
      <w:rPr>
        <w:rStyle w:val="Sidetal"/>
        <w:rFonts w:ascii="Arial" w:hAnsi="Arial" w:cs="Arial"/>
        <w:sz w:val="14"/>
        <w:szCs w:val="14"/>
      </w:rPr>
      <w:fldChar w:fldCharType="begin"/>
    </w:r>
    <w:r>
      <w:rPr>
        <w:rStyle w:val="Sidetal"/>
        <w:rFonts w:ascii="Arial" w:hAnsi="Arial" w:cs="Arial"/>
        <w:sz w:val="14"/>
        <w:szCs w:val="14"/>
      </w:rPr>
      <w:instrText xml:space="preserve">PAGE  </w:instrText>
    </w:r>
    <w:r>
      <w:rPr>
        <w:rStyle w:val="Sidetal"/>
        <w:rFonts w:ascii="Arial" w:hAnsi="Arial" w:cs="Arial"/>
        <w:sz w:val="14"/>
        <w:szCs w:val="14"/>
      </w:rPr>
      <w:fldChar w:fldCharType="separate"/>
    </w:r>
    <w:r w:rsidR="006C5433">
      <w:rPr>
        <w:rStyle w:val="Sidetal"/>
        <w:rFonts w:ascii="Arial" w:hAnsi="Arial" w:cs="Arial"/>
        <w:noProof/>
        <w:sz w:val="14"/>
        <w:szCs w:val="14"/>
      </w:rPr>
      <w:t>1</w:t>
    </w:r>
    <w:r>
      <w:rPr>
        <w:rStyle w:val="Sidetal"/>
        <w:rFonts w:ascii="Arial" w:hAnsi="Arial" w:cs="Arial"/>
        <w:sz w:val="14"/>
        <w:szCs w:val="14"/>
      </w:rPr>
      <w:fldChar w:fldCharType="end"/>
    </w:r>
  </w:p>
  <w:p w14:paraId="552ABBBB" w14:textId="3220F5F4" w:rsidR="002D3CB3" w:rsidRDefault="00454F52">
    <w:pPr>
      <w:pStyle w:val="Sidehoved"/>
      <w:ind w:right="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1</w:t>
    </w:r>
    <w:r w:rsidR="00321E7D">
      <w:rPr>
        <w:rFonts w:ascii="Arial" w:hAnsi="Arial" w:cs="Arial"/>
        <w:sz w:val="14"/>
        <w:szCs w:val="14"/>
      </w:rPr>
      <w:t>3</w:t>
    </w:r>
    <w:r>
      <w:rPr>
        <w:rFonts w:ascii="Arial" w:hAnsi="Arial" w:cs="Arial"/>
        <w:sz w:val="14"/>
        <w:szCs w:val="14"/>
        <w:vertAlign w:val="superscript"/>
      </w:rPr>
      <w:t>th</w:t>
    </w:r>
    <w:r>
      <w:rPr>
        <w:rFonts w:ascii="Arial" w:hAnsi="Arial" w:cs="Arial"/>
        <w:sz w:val="14"/>
        <w:szCs w:val="14"/>
        <w:lang w:val="en-GB"/>
      </w:rPr>
      <w:t xml:space="preserve"> </w:t>
    </w:r>
    <w:r w:rsidR="00990EE8">
      <w:rPr>
        <w:rFonts w:ascii="Arial" w:hAnsi="Arial" w:cs="Arial"/>
        <w:sz w:val="14"/>
        <w:szCs w:val="14"/>
        <w:lang w:val="en-GB"/>
      </w:rPr>
      <w:t>CITTA</w:t>
    </w:r>
    <w:r>
      <w:rPr>
        <w:rFonts w:ascii="Arial" w:hAnsi="Arial" w:cs="Arial"/>
        <w:sz w:val="14"/>
        <w:szCs w:val="14"/>
        <w:lang w:val="en-GB"/>
      </w:rPr>
      <w:t xml:space="preserve"> International</w:t>
    </w:r>
    <w:r w:rsidR="00990EE8">
      <w:rPr>
        <w:rFonts w:ascii="Arial" w:hAnsi="Arial" w:cs="Arial"/>
        <w:sz w:val="14"/>
        <w:szCs w:val="14"/>
        <w:lang w:val="en-GB"/>
      </w:rPr>
      <w:t xml:space="preserve"> Conference on Planning Research </w:t>
    </w:r>
    <w:r w:rsidR="00990EE8">
      <w:rPr>
        <w:rFonts w:ascii="Arial" w:hAnsi="Arial" w:cs="Arial"/>
        <w:sz w:val="14"/>
        <w:szCs w:val="14"/>
      </w:rPr>
      <w:t xml:space="preserve"> </w:t>
    </w:r>
  </w:p>
  <w:p w14:paraId="6370D943" w14:textId="0231B0BD" w:rsidR="002D3CB3" w:rsidRDefault="00321E7D">
    <w:pPr>
      <w:pStyle w:val="Sidehoved"/>
      <w:ind w:right="360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Planning for Human Scale Cities</w:t>
    </w:r>
  </w:p>
  <w:p w14:paraId="7B4BC17E" w14:textId="77777777" w:rsidR="002D3CB3" w:rsidRDefault="00990EE8">
    <w:pPr>
      <w:pStyle w:val="Sidehoved"/>
      <w:ind w:right="360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>Abstract Submission</w:t>
    </w:r>
  </w:p>
  <w:p w14:paraId="244AFD08" w14:textId="77777777" w:rsidR="002D3CB3" w:rsidRDefault="002D3C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597"/>
    <w:multiLevelType w:val="multilevel"/>
    <w:tmpl w:val="121C75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69"/>
    <w:rsid w:val="BEFD95A8"/>
    <w:rsid w:val="0000211C"/>
    <w:rsid w:val="000126D8"/>
    <w:rsid w:val="0001435C"/>
    <w:rsid w:val="00026314"/>
    <w:rsid w:val="000454A8"/>
    <w:rsid w:val="000600AF"/>
    <w:rsid w:val="000625CD"/>
    <w:rsid w:val="00080EB7"/>
    <w:rsid w:val="000910C6"/>
    <w:rsid w:val="000A78E4"/>
    <w:rsid w:val="000B59E5"/>
    <w:rsid w:val="000C614C"/>
    <w:rsid w:val="000F1F9B"/>
    <w:rsid w:val="000F390E"/>
    <w:rsid w:val="000F5E3E"/>
    <w:rsid w:val="00137186"/>
    <w:rsid w:val="001576A9"/>
    <w:rsid w:val="001623EF"/>
    <w:rsid w:val="0016554F"/>
    <w:rsid w:val="001A1612"/>
    <w:rsid w:val="001B2E96"/>
    <w:rsid w:val="001B4355"/>
    <w:rsid w:val="001C1ED4"/>
    <w:rsid w:val="001E6C57"/>
    <w:rsid w:val="001F526B"/>
    <w:rsid w:val="0020091D"/>
    <w:rsid w:val="002055EE"/>
    <w:rsid w:val="00205B91"/>
    <w:rsid w:val="00226DF6"/>
    <w:rsid w:val="002274B0"/>
    <w:rsid w:val="00227830"/>
    <w:rsid w:val="00231A56"/>
    <w:rsid w:val="00235C4D"/>
    <w:rsid w:val="00243256"/>
    <w:rsid w:val="00243831"/>
    <w:rsid w:val="00250243"/>
    <w:rsid w:val="00251354"/>
    <w:rsid w:val="00251617"/>
    <w:rsid w:val="00254119"/>
    <w:rsid w:val="00257CDF"/>
    <w:rsid w:val="00260DD2"/>
    <w:rsid w:val="00266AA2"/>
    <w:rsid w:val="00271581"/>
    <w:rsid w:val="00274CE7"/>
    <w:rsid w:val="002814DB"/>
    <w:rsid w:val="0028506A"/>
    <w:rsid w:val="002913A2"/>
    <w:rsid w:val="002B4886"/>
    <w:rsid w:val="002C652B"/>
    <w:rsid w:val="002D3CB3"/>
    <w:rsid w:val="002D4F77"/>
    <w:rsid w:val="002F073A"/>
    <w:rsid w:val="002F716C"/>
    <w:rsid w:val="00303C30"/>
    <w:rsid w:val="003068E3"/>
    <w:rsid w:val="003070FE"/>
    <w:rsid w:val="00307E08"/>
    <w:rsid w:val="00321E7D"/>
    <w:rsid w:val="00334B18"/>
    <w:rsid w:val="0033584B"/>
    <w:rsid w:val="00340C3A"/>
    <w:rsid w:val="00342093"/>
    <w:rsid w:val="00354CA1"/>
    <w:rsid w:val="00362C55"/>
    <w:rsid w:val="003675BC"/>
    <w:rsid w:val="00373088"/>
    <w:rsid w:val="00380C7B"/>
    <w:rsid w:val="003A57AC"/>
    <w:rsid w:val="003A6120"/>
    <w:rsid w:val="003B1C61"/>
    <w:rsid w:val="003C0603"/>
    <w:rsid w:val="003C41E4"/>
    <w:rsid w:val="003C4B28"/>
    <w:rsid w:val="003D4082"/>
    <w:rsid w:val="003D68F8"/>
    <w:rsid w:val="003D7631"/>
    <w:rsid w:val="003E11E0"/>
    <w:rsid w:val="003F7E72"/>
    <w:rsid w:val="00400D32"/>
    <w:rsid w:val="004309ED"/>
    <w:rsid w:val="004347D4"/>
    <w:rsid w:val="00454F52"/>
    <w:rsid w:val="00460A41"/>
    <w:rsid w:val="00462CB3"/>
    <w:rsid w:val="004640C7"/>
    <w:rsid w:val="0047200A"/>
    <w:rsid w:val="0049459A"/>
    <w:rsid w:val="004B4F1C"/>
    <w:rsid w:val="004B5D1D"/>
    <w:rsid w:val="004E6140"/>
    <w:rsid w:val="004F21F5"/>
    <w:rsid w:val="004F668E"/>
    <w:rsid w:val="005010DA"/>
    <w:rsid w:val="005168C9"/>
    <w:rsid w:val="00520617"/>
    <w:rsid w:val="00537A3B"/>
    <w:rsid w:val="0054572C"/>
    <w:rsid w:val="00575732"/>
    <w:rsid w:val="00584124"/>
    <w:rsid w:val="00585159"/>
    <w:rsid w:val="00595A82"/>
    <w:rsid w:val="005B4095"/>
    <w:rsid w:val="005B48A7"/>
    <w:rsid w:val="005E2C80"/>
    <w:rsid w:val="005F0B90"/>
    <w:rsid w:val="00604EF4"/>
    <w:rsid w:val="006137D3"/>
    <w:rsid w:val="0062104B"/>
    <w:rsid w:val="0063312E"/>
    <w:rsid w:val="00644B4E"/>
    <w:rsid w:val="006651BA"/>
    <w:rsid w:val="00674E71"/>
    <w:rsid w:val="00675997"/>
    <w:rsid w:val="006820D8"/>
    <w:rsid w:val="00687F43"/>
    <w:rsid w:val="006966A6"/>
    <w:rsid w:val="006A649D"/>
    <w:rsid w:val="006C5433"/>
    <w:rsid w:val="006E071C"/>
    <w:rsid w:val="007110D4"/>
    <w:rsid w:val="0073703D"/>
    <w:rsid w:val="00741AEF"/>
    <w:rsid w:val="00767C47"/>
    <w:rsid w:val="00786F96"/>
    <w:rsid w:val="00793BE5"/>
    <w:rsid w:val="00794B89"/>
    <w:rsid w:val="007B0630"/>
    <w:rsid w:val="007D4412"/>
    <w:rsid w:val="007F5F59"/>
    <w:rsid w:val="00813AC8"/>
    <w:rsid w:val="00816586"/>
    <w:rsid w:val="00844683"/>
    <w:rsid w:val="00862416"/>
    <w:rsid w:val="0086361B"/>
    <w:rsid w:val="008668D1"/>
    <w:rsid w:val="008869D8"/>
    <w:rsid w:val="00892659"/>
    <w:rsid w:val="008A3A10"/>
    <w:rsid w:val="008A4C05"/>
    <w:rsid w:val="008B19CD"/>
    <w:rsid w:val="008C0169"/>
    <w:rsid w:val="008D6412"/>
    <w:rsid w:val="008E080D"/>
    <w:rsid w:val="008F2000"/>
    <w:rsid w:val="009443A5"/>
    <w:rsid w:val="00947DA5"/>
    <w:rsid w:val="00957198"/>
    <w:rsid w:val="00963D03"/>
    <w:rsid w:val="00980FE0"/>
    <w:rsid w:val="009868AB"/>
    <w:rsid w:val="0099083B"/>
    <w:rsid w:val="00990EE8"/>
    <w:rsid w:val="009A362B"/>
    <w:rsid w:val="009A4530"/>
    <w:rsid w:val="009B206A"/>
    <w:rsid w:val="009C4CBD"/>
    <w:rsid w:val="009F67EA"/>
    <w:rsid w:val="00A03D2B"/>
    <w:rsid w:val="00A32141"/>
    <w:rsid w:val="00A3226D"/>
    <w:rsid w:val="00A322B7"/>
    <w:rsid w:val="00A53795"/>
    <w:rsid w:val="00A573AD"/>
    <w:rsid w:val="00A7369A"/>
    <w:rsid w:val="00AA314F"/>
    <w:rsid w:val="00AA5D8B"/>
    <w:rsid w:val="00AA624A"/>
    <w:rsid w:val="00AB3FB2"/>
    <w:rsid w:val="00AB59CD"/>
    <w:rsid w:val="00AB6647"/>
    <w:rsid w:val="00AC031C"/>
    <w:rsid w:val="00AC051E"/>
    <w:rsid w:val="00AC3916"/>
    <w:rsid w:val="00AE1232"/>
    <w:rsid w:val="00AE3D5F"/>
    <w:rsid w:val="00B03051"/>
    <w:rsid w:val="00B13A31"/>
    <w:rsid w:val="00B33A7C"/>
    <w:rsid w:val="00B3400A"/>
    <w:rsid w:val="00B53BCA"/>
    <w:rsid w:val="00B61A5A"/>
    <w:rsid w:val="00B66B58"/>
    <w:rsid w:val="00B7546A"/>
    <w:rsid w:val="00B85B9A"/>
    <w:rsid w:val="00B90765"/>
    <w:rsid w:val="00B915D9"/>
    <w:rsid w:val="00B91BEC"/>
    <w:rsid w:val="00BA6C80"/>
    <w:rsid w:val="00BB44D5"/>
    <w:rsid w:val="00BC3175"/>
    <w:rsid w:val="00BD1C39"/>
    <w:rsid w:val="00BD4800"/>
    <w:rsid w:val="00C062D7"/>
    <w:rsid w:val="00C07E07"/>
    <w:rsid w:val="00C10DB0"/>
    <w:rsid w:val="00C2172F"/>
    <w:rsid w:val="00C24999"/>
    <w:rsid w:val="00C3445C"/>
    <w:rsid w:val="00C42D38"/>
    <w:rsid w:val="00C56565"/>
    <w:rsid w:val="00C57DB9"/>
    <w:rsid w:val="00C63A01"/>
    <w:rsid w:val="00C82343"/>
    <w:rsid w:val="00CA56E6"/>
    <w:rsid w:val="00CA663F"/>
    <w:rsid w:val="00CF420A"/>
    <w:rsid w:val="00D10723"/>
    <w:rsid w:val="00D15B91"/>
    <w:rsid w:val="00D1786F"/>
    <w:rsid w:val="00D266F5"/>
    <w:rsid w:val="00D634AE"/>
    <w:rsid w:val="00D65D45"/>
    <w:rsid w:val="00D90D14"/>
    <w:rsid w:val="00D91343"/>
    <w:rsid w:val="00DA55C1"/>
    <w:rsid w:val="00DE3D84"/>
    <w:rsid w:val="00DF0BB9"/>
    <w:rsid w:val="00DF4763"/>
    <w:rsid w:val="00DF6653"/>
    <w:rsid w:val="00E13DA7"/>
    <w:rsid w:val="00E272B9"/>
    <w:rsid w:val="00E2791F"/>
    <w:rsid w:val="00E3204E"/>
    <w:rsid w:val="00E3216F"/>
    <w:rsid w:val="00E40CBE"/>
    <w:rsid w:val="00E41C22"/>
    <w:rsid w:val="00E519C0"/>
    <w:rsid w:val="00E54F07"/>
    <w:rsid w:val="00E70656"/>
    <w:rsid w:val="00E83C6A"/>
    <w:rsid w:val="00E86887"/>
    <w:rsid w:val="00E8778D"/>
    <w:rsid w:val="00E92926"/>
    <w:rsid w:val="00EC0D50"/>
    <w:rsid w:val="00EC11E2"/>
    <w:rsid w:val="00EC2EDC"/>
    <w:rsid w:val="00EC60A1"/>
    <w:rsid w:val="00ED1570"/>
    <w:rsid w:val="00EE6711"/>
    <w:rsid w:val="00F002F9"/>
    <w:rsid w:val="00F043F7"/>
    <w:rsid w:val="00F0637C"/>
    <w:rsid w:val="00F0701B"/>
    <w:rsid w:val="00F302EA"/>
    <w:rsid w:val="00F52716"/>
    <w:rsid w:val="00F53EA1"/>
    <w:rsid w:val="00F70FC5"/>
    <w:rsid w:val="00F73106"/>
    <w:rsid w:val="00F73F47"/>
    <w:rsid w:val="00F82261"/>
    <w:rsid w:val="00FA5A16"/>
    <w:rsid w:val="00FD3429"/>
    <w:rsid w:val="79C8A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B7F122"/>
  <w15:docId w15:val="{CBACD0BF-FB3F-4571-A18A-A4731EFD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qFormat/>
    <w:pPr>
      <w:keepNext/>
      <w:spacing w:before="120" w:after="120"/>
      <w:jc w:val="both"/>
      <w:outlineLvl w:val="1"/>
    </w:pPr>
    <w:rPr>
      <w:rFonts w:cs="Arial"/>
      <w:b/>
      <w:bCs/>
      <w:iCs/>
      <w:szCs w:val="28"/>
      <w:lang w:val="en-GB" w:eastAsia="de-A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pPr>
      <w:spacing w:after="120"/>
    </w:pPr>
    <w:rPr>
      <w:lang w:val="pt-PT"/>
    </w:r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Fodnotetekst">
    <w:name w:val="footnote text"/>
    <w:basedOn w:val="Normal"/>
    <w:semiHidden/>
    <w:rPr>
      <w:sz w:val="20"/>
      <w:szCs w:val="20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Almindeligteks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MailAddress">
    <w:name w:val="E-Mail Address"/>
    <w:basedOn w:val="Normal"/>
    <w:next w:val="Normal"/>
    <w:link w:val="E-MailAddressZchn"/>
    <w:pPr>
      <w:jc w:val="center"/>
    </w:pPr>
    <w:rPr>
      <w:i/>
      <w:sz w:val="20"/>
      <w:lang w:val="en-GB" w:eastAsia="de-AT"/>
    </w:rPr>
  </w:style>
  <w:style w:type="character" w:customStyle="1" w:styleId="E-MailAddressZchn">
    <w:name w:val="E-Mail Address Zchn"/>
    <w:basedOn w:val="Standardskrifttypeiafsnit"/>
    <w:link w:val="E-MailAddress"/>
    <w:rPr>
      <w:i/>
      <w:szCs w:val="24"/>
      <w:lang w:val="en-GB" w:eastAsia="de-AT" w:bidi="ar-SA"/>
    </w:rPr>
  </w:style>
  <w:style w:type="paragraph" w:customStyle="1" w:styleId="AuthorsAffiliations">
    <w:name w:val="Author's Affiliations"/>
    <w:basedOn w:val="Normal"/>
    <w:pPr>
      <w:jc w:val="center"/>
    </w:pPr>
    <w:rPr>
      <w:sz w:val="20"/>
      <w:lang w:val="en-GB" w:eastAsia="de-AT"/>
    </w:rPr>
  </w:style>
  <w:style w:type="paragraph" w:customStyle="1" w:styleId="AuthorName">
    <w:name w:val="Author Name"/>
    <w:basedOn w:val="Normal"/>
    <w:pPr>
      <w:jc w:val="center"/>
    </w:pPr>
    <w:rPr>
      <w:b/>
      <w:sz w:val="20"/>
      <w:lang w:val="en-GB" w:eastAsia="de-AT"/>
    </w:rPr>
  </w:style>
  <w:style w:type="paragraph" w:customStyle="1" w:styleId="Titleofpaper">
    <w:name w:val="Title of paper"/>
    <w:basedOn w:val="Normal"/>
    <w:pPr>
      <w:spacing w:line="360" w:lineRule="auto"/>
      <w:jc w:val="both"/>
    </w:pPr>
    <w:rPr>
      <w:rFonts w:ascii="Arial" w:hAnsi="Arial" w:cs="Arial"/>
      <w:b/>
      <w:sz w:val="30"/>
      <w:szCs w:val="30"/>
      <w:lang w:val="en-GB"/>
    </w:rPr>
  </w:style>
  <w:style w:type="paragraph" w:customStyle="1" w:styleId="Authorsname">
    <w:name w:val="Author's name"/>
    <w:basedOn w:val="Normal"/>
    <w:pPr>
      <w:spacing w:line="360" w:lineRule="auto"/>
    </w:pPr>
    <w:rPr>
      <w:rFonts w:ascii="Arial" w:hAnsi="Arial" w:cs="Arial"/>
      <w:b/>
      <w:sz w:val="18"/>
      <w:szCs w:val="18"/>
    </w:rPr>
  </w:style>
  <w:style w:type="paragraph" w:customStyle="1" w:styleId="Authorsaffiliation">
    <w:name w:val="Authors affiliation"/>
    <w:basedOn w:val="Normal"/>
    <w:link w:val="AuthorsaffiliationChar"/>
    <w:pPr>
      <w:spacing w:line="360" w:lineRule="auto"/>
    </w:pPr>
    <w:rPr>
      <w:rFonts w:ascii="Arial" w:hAnsi="Arial" w:cs="Arial"/>
      <w:sz w:val="16"/>
      <w:szCs w:val="16"/>
    </w:rPr>
  </w:style>
  <w:style w:type="paragraph" w:customStyle="1" w:styleId="EmailAddress">
    <w:name w:val="Email Address"/>
    <w:basedOn w:val="Authorsaffiliation"/>
    <w:rPr>
      <w:lang w:val="fr-FR"/>
    </w:rPr>
  </w:style>
  <w:style w:type="paragraph" w:customStyle="1" w:styleId="EmailAdress">
    <w:name w:val="Email Adress"/>
    <w:basedOn w:val="EmailAddress"/>
  </w:style>
  <w:style w:type="character" w:customStyle="1" w:styleId="AuthorsaffiliationChar">
    <w:name w:val="Authors affiliation Char"/>
    <w:basedOn w:val="Standardskrifttypeiafsnit"/>
    <w:link w:val="Authorsaffiliation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bstract">
    <w:name w:val="Abstract"/>
    <w:basedOn w:val="Normal"/>
    <w:pPr>
      <w:jc w:val="both"/>
    </w:pPr>
    <w:rPr>
      <w:rFonts w:ascii="Arial" w:hAnsi="Arial" w:cs="Arial"/>
      <w:b/>
      <w:sz w:val="16"/>
      <w:szCs w:val="16"/>
    </w:rPr>
  </w:style>
  <w:style w:type="paragraph" w:customStyle="1" w:styleId="Keywordsbold">
    <w:name w:val="Keywords+bold"/>
    <w:basedOn w:val="Normal"/>
    <w:link w:val="KeywordsboldChar"/>
    <w:pPr>
      <w:spacing w:line="480" w:lineRule="auto"/>
      <w:jc w:val="both"/>
    </w:pPr>
    <w:rPr>
      <w:rFonts w:ascii="Arial" w:hAnsi="Arial" w:cs="Arial"/>
      <w:b/>
      <w:sz w:val="16"/>
      <w:szCs w:val="16"/>
      <w:lang w:val="en-GB"/>
    </w:rPr>
  </w:style>
  <w:style w:type="paragraph" w:customStyle="1" w:styleId="Keywords">
    <w:name w:val="Keywords"/>
    <w:basedOn w:val="Keywordsbold"/>
    <w:link w:val="KeywordsChar"/>
  </w:style>
  <w:style w:type="character" w:customStyle="1" w:styleId="KeywordsboldChar">
    <w:name w:val="Keywords+bold Char"/>
    <w:basedOn w:val="Standardskrifttypeiafsnit"/>
    <w:link w:val="Keywordsbold"/>
    <w:rPr>
      <w:rFonts w:ascii="Arial" w:hAnsi="Arial" w:cs="Arial"/>
      <w:b/>
      <w:sz w:val="16"/>
      <w:szCs w:val="16"/>
      <w:lang w:val="en-GB" w:eastAsia="en-US" w:bidi="ar-SA"/>
    </w:rPr>
  </w:style>
  <w:style w:type="character" w:customStyle="1" w:styleId="KeywordsChar">
    <w:name w:val="Keywords Char"/>
    <w:basedOn w:val="KeywordsboldChar"/>
    <w:link w:val="Keywords"/>
    <w:rPr>
      <w:rFonts w:ascii="Arial" w:hAnsi="Arial" w:cs="Arial"/>
      <w:b/>
      <w:sz w:val="16"/>
      <w:szCs w:val="16"/>
      <w:lang w:val="en-GB" w:eastAsia="en-US" w:bidi="ar-SA"/>
    </w:rPr>
  </w:style>
  <w:style w:type="paragraph" w:customStyle="1" w:styleId="Heading">
    <w:name w:val="Heading"/>
    <w:basedOn w:val="Normal"/>
    <w:pPr>
      <w:tabs>
        <w:tab w:val="left" w:pos="567"/>
      </w:tabs>
      <w:spacing w:line="360" w:lineRule="auto"/>
      <w:jc w:val="both"/>
    </w:pPr>
    <w:rPr>
      <w:rFonts w:ascii="Arial" w:hAnsi="Arial" w:cs="Arial"/>
      <w:b/>
      <w:sz w:val="18"/>
      <w:szCs w:val="18"/>
      <w:lang w:val="pt-PT"/>
    </w:rPr>
  </w:style>
  <w:style w:type="paragraph" w:customStyle="1" w:styleId="Normaltext">
    <w:name w:val="Normal text"/>
    <w:basedOn w:val="Normal"/>
    <w:rPr>
      <w:lang w:val="en-GB"/>
    </w:rPr>
  </w:style>
  <w:style w:type="paragraph" w:customStyle="1" w:styleId="NormalA">
    <w:name w:val="Normal A"/>
    <w:basedOn w:val="Normal"/>
    <w:pPr>
      <w:tabs>
        <w:tab w:val="left" w:pos="540"/>
      </w:tabs>
      <w:spacing w:line="360" w:lineRule="auto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HeadingA">
    <w:name w:val="Heading A"/>
    <w:basedOn w:val="Heading"/>
    <w:rPr>
      <w:lang w:val="en-US"/>
    </w:rPr>
  </w:style>
  <w:style w:type="paragraph" w:customStyle="1" w:styleId="ReferencesBold">
    <w:name w:val="References+Bold"/>
    <w:basedOn w:val="Normal"/>
    <w:pPr>
      <w:tabs>
        <w:tab w:val="left" w:pos="540"/>
      </w:tabs>
      <w:spacing w:line="360" w:lineRule="auto"/>
      <w:jc w:val="both"/>
    </w:pPr>
    <w:rPr>
      <w:rFonts w:ascii="Arial" w:hAnsi="Arial" w:cs="Arial"/>
      <w:b/>
      <w:sz w:val="16"/>
      <w:szCs w:val="16"/>
      <w:lang w:val="pt-PT"/>
    </w:rPr>
  </w:style>
  <w:style w:type="paragraph" w:customStyle="1" w:styleId="ReferencesA">
    <w:name w:val="References A"/>
    <w:basedOn w:val="ReferencesBold"/>
    <w:pPr>
      <w:ind w:left="284" w:hanging="284"/>
    </w:pPr>
  </w:style>
  <w:style w:type="paragraph" w:customStyle="1" w:styleId="ReferencesBNotBold">
    <w:name w:val="References B + Not Bold"/>
    <w:basedOn w:val="ReferencesA"/>
    <w:rPr>
      <w:b w:val="0"/>
      <w:lang w:val="en-US"/>
    </w:rPr>
  </w:style>
  <w:style w:type="paragraph" w:customStyle="1" w:styleId="AcknowledgementsBold">
    <w:name w:val="Acknowledgements+Bold"/>
    <w:basedOn w:val="ReferencesBold"/>
  </w:style>
  <w:style w:type="paragraph" w:customStyle="1" w:styleId="Acknowledgements">
    <w:name w:val="Acknowledgements"/>
    <w:basedOn w:val="ReferencesA"/>
    <w:pPr>
      <w:ind w:left="0" w:firstLine="0"/>
    </w:pPr>
    <w:rPr>
      <w:b w:val="0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rPr>
      <w:rFonts w:ascii="Segoe UI" w:hAnsi="Segoe UI" w:cs="Segoe UI"/>
      <w:sz w:val="18"/>
      <w:szCs w:val="18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jlqj4b">
    <w:name w:val="jlqj4b"/>
    <w:basedOn w:val="Standardskrifttypeiafsnit"/>
    <w:rsid w:val="00C10DB0"/>
  </w:style>
  <w:style w:type="character" w:customStyle="1" w:styleId="viiyi">
    <w:name w:val="viiyi"/>
    <w:basedOn w:val="Standardskrifttypeiafsnit"/>
    <w:rsid w:val="00C1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Diferentes abordagens no estudo da forma urbana</vt:lpstr>
    </vt:vector>
  </TitlesOfParts>
  <Company>FEUP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Diferentes abordagens no estudo da forma urbana</dc:title>
  <dc:creator>Vitor Oliveira</dc:creator>
  <cp:lastModifiedBy>Kasper Albrektsen  Byudvikling &amp; Arkitektur  Teknik &amp; Miljø  Vejle Kommune</cp:lastModifiedBy>
  <cp:revision>6</cp:revision>
  <cp:lastPrinted>2019-03-15T11:03:00Z</cp:lastPrinted>
  <dcterms:created xsi:type="dcterms:W3CDTF">2021-04-07T06:38:00Z</dcterms:created>
  <dcterms:modified xsi:type="dcterms:W3CDTF">2021-04-08T09:11:00Z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