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95156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3AE228BC" w14:textId="77777777" w:rsidR="00A645E0" w:rsidRDefault="004B3D29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Dear Peter Bertram</w:t>
      </w:r>
    </w:p>
    <w:p w14:paraId="11417BA2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1830A655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would kindly like to request your help as peer reviewer on the enclosed article: </w:t>
      </w:r>
    </w:p>
    <w:p w14:paraId="1D69D25D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7FB7F832" w14:textId="77777777" w:rsidR="004B3D29" w:rsidRDefault="004B3D29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Diagramming the in-between</w:t>
      </w:r>
    </w:p>
    <w:p w14:paraId="4FB9A221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1F8DB185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for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the publication</w:t>
      </w:r>
      <w:r>
        <w:rPr>
          <w:rFonts w:ascii="Times New Roman" w:hAnsi="Times New Roman" w:cs="Times New Roman"/>
          <w:i/>
          <w:iCs/>
          <w:sz w:val="32"/>
          <w:szCs w:val="32"/>
          <w:lang w:val="en-US"/>
        </w:rPr>
        <w:t> </w:t>
      </w:r>
      <w:r w:rsidRPr="00A645E0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en-US"/>
        </w:rPr>
        <w:t xml:space="preserve">“Architecture Drawing Topology” AADR </w:t>
      </w:r>
      <w:proofErr w:type="spellStart"/>
      <w:r w:rsidRPr="00A645E0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en-US"/>
        </w:rPr>
        <w:t>Spurbuch</w:t>
      </w:r>
      <w:proofErr w:type="spellEnd"/>
      <w:r w:rsidRPr="00A645E0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A645E0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en-US"/>
        </w:rPr>
        <w:t>Verlag</w:t>
      </w:r>
      <w:proofErr w:type="spellEnd"/>
      <w:r w:rsidRPr="00A645E0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en-US"/>
        </w:rPr>
        <w:t xml:space="preserve"> </w:t>
      </w:r>
      <w:r w:rsidRPr="00A645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2017, which is concerned with the interrelations of drawing aesthetics and topology in the field of architecture, </w:t>
      </w:r>
      <w:r>
        <w:rPr>
          <w:rFonts w:ascii="Times New Roman" w:hAnsi="Times New Roman" w:cs="Times New Roman"/>
          <w:sz w:val="32"/>
          <w:szCs w:val="32"/>
          <w:lang w:val="en-US"/>
        </w:rPr>
        <w:t>kindly see first notes for introduction, enclosed below.</w:t>
      </w:r>
    </w:p>
    <w:p w14:paraId="19DFF384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3F8DCB45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The anthology is planned to be published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medio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2017 and co-edited by us. </w:t>
      </w:r>
    </w:p>
    <w:p w14:paraId="3DBBF85F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6F343A56" w14:textId="77777777" w:rsidR="00A645E0" w:rsidRP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Review must conform to the enclosed </w:t>
      </w:r>
      <w:r w:rsidRPr="00A645E0">
        <w:rPr>
          <w:rFonts w:ascii="Times New Roman" w:hAnsi="Times New Roman" w:cs="Times New Roman"/>
          <w:i/>
          <w:iCs/>
          <w:color w:val="000000" w:themeColor="text1"/>
          <w:sz w:val="32"/>
          <w:szCs w:val="32"/>
          <w:lang w:val="en-US"/>
        </w:rPr>
        <w:t>“Architecture Drawing Topology”: Referee’s Evaluation Sheet</w:t>
      </w:r>
      <w:r w:rsidRPr="00A645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14:paraId="41AEEFAD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6F2D9231" w14:textId="77777777" w:rsidR="00A645E0" w:rsidRP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would kindly request the peer review no later </w:t>
      </w:r>
      <w:r w:rsidRPr="00A645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than November 1</w:t>
      </w:r>
      <w:r w:rsidRPr="00A645E0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:lang w:val="en-US"/>
        </w:rPr>
        <w:t>st</w:t>
      </w:r>
      <w:r w:rsidRPr="00A645E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2016</w:t>
      </w:r>
    </w:p>
    <w:p w14:paraId="424E538B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51E7CB25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We apologize for this tight timeline and hope you will have the possibility for helping us. </w:t>
      </w:r>
    </w:p>
    <w:p w14:paraId="44692781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 </w:t>
      </w:r>
    </w:p>
    <w:p w14:paraId="111D4A45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Our most sincere thanks in advance.</w:t>
      </w:r>
      <w:proofErr w:type="gramEnd"/>
    </w:p>
    <w:p w14:paraId="2BB6FAB5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25BCA9BA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Best regards, </w:t>
      </w:r>
    </w:p>
    <w:p w14:paraId="51C81258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0374A8A4" w14:textId="77777777" w:rsidR="00A645E0" w:rsidRP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645E0">
        <w:rPr>
          <w:rFonts w:ascii="Times New Roman" w:hAnsi="Times New Roman" w:cs="Times New Roman"/>
          <w:sz w:val="32"/>
          <w:szCs w:val="32"/>
          <w:lang w:val="en-US"/>
        </w:rPr>
        <w:t>Cort</w:t>
      </w:r>
      <w:proofErr w:type="spellEnd"/>
      <w:r w:rsidRPr="00A645E0">
        <w:rPr>
          <w:rFonts w:ascii="Times New Roman" w:hAnsi="Times New Roman" w:cs="Times New Roman"/>
          <w:sz w:val="32"/>
          <w:szCs w:val="32"/>
          <w:lang w:val="en-US"/>
        </w:rPr>
        <w:t xml:space="preserve"> Ross Dinesen, Royal Danish Academy of Fine Arts, Schools of Architecture</w:t>
      </w:r>
    </w:p>
    <w:p w14:paraId="2D7659EC" w14:textId="77777777" w:rsidR="00A645E0" w:rsidRP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A645E0">
        <w:rPr>
          <w:rFonts w:ascii="Times New Roman" w:hAnsi="Times New Roman" w:cs="Times New Roman"/>
          <w:sz w:val="32"/>
          <w:szCs w:val="32"/>
          <w:lang w:val="en-US"/>
        </w:rPr>
        <w:t xml:space="preserve">Morten </w:t>
      </w:r>
      <w:proofErr w:type="spellStart"/>
      <w:r w:rsidRPr="00A645E0">
        <w:rPr>
          <w:rFonts w:ascii="Times New Roman" w:hAnsi="Times New Roman" w:cs="Times New Roman"/>
          <w:sz w:val="32"/>
          <w:szCs w:val="32"/>
          <w:lang w:val="en-US"/>
        </w:rPr>
        <w:t>Meldgaard</w:t>
      </w:r>
      <w:proofErr w:type="spellEnd"/>
      <w:r w:rsidRPr="00A645E0">
        <w:rPr>
          <w:rFonts w:ascii="Times New Roman" w:hAnsi="Times New Roman" w:cs="Times New Roman"/>
          <w:sz w:val="32"/>
          <w:szCs w:val="32"/>
          <w:lang w:val="en-US"/>
        </w:rPr>
        <w:t>, Royal Danish Academy of Fine Arts, Schools of Architecture</w:t>
      </w:r>
    </w:p>
    <w:p w14:paraId="30646B02" w14:textId="77777777" w:rsidR="00A645E0" w:rsidRP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A645E0">
        <w:rPr>
          <w:rFonts w:ascii="Times New Roman" w:hAnsi="Times New Roman" w:cs="Times New Roman"/>
          <w:sz w:val="32"/>
          <w:szCs w:val="32"/>
          <w:lang w:val="en-US"/>
        </w:rPr>
        <w:t xml:space="preserve">Anders </w:t>
      </w:r>
      <w:proofErr w:type="spellStart"/>
      <w:r w:rsidRPr="00A645E0">
        <w:rPr>
          <w:rFonts w:ascii="Times New Roman" w:hAnsi="Times New Roman" w:cs="Times New Roman"/>
          <w:sz w:val="32"/>
          <w:szCs w:val="32"/>
          <w:lang w:val="en-US"/>
        </w:rPr>
        <w:t>Michelsen</w:t>
      </w:r>
      <w:proofErr w:type="spellEnd"/>
      <w:r w:rsidRPr="00A645E0">
        <w:rPr>
          <w:rFonts w:ascii="Times New Roman" w:hAnsi="Times New Roman" w:cs="Times New Roman"/>
          <w:sz w:val="32"/>
          <w:szCs w:val="32"/>
          <w:lang w:val="en-US"/>
        </w:rPr>
        <w:t>, University of Copenhagen</w:t>
      </w:r>
    </w:p>
    <w:p w14:paraId="1769EF04" w14:textId="77777777" w:rsidR="00A645E0" w:rsidRP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A645E0">
        <w:rPr>
          <w:rFonts w:ascii="Times New Roman" w:hAnsi="Times New Roman" w:cs="Times New Roman"/>
          <w:sz w:val="32"/>
          <w:szCs w:val="32"/>
          <w:lang w:val="en-US"/>
        </w:rPr>
        <w:t>Henrik</w:t>
      </w:r>
      <w:proofErr w:type="spellEnd"/>
      <w:r w:rsidRPr="00A645E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A645E0">
        <w:rPr>
          <w:rFonts w:ascii="Times New Roman" w:hAnsi="Times New Roman" w:cs="Times New Roman"/>
          <w:sz w:val="32"/>
          <w:szCs w:val="32"/>
          <w:lang w:val="en-US"/>
        </w:rPr>
        <w:t>Oxvig</w:t>
      </w:r>
      <w:proofErr w:type="spellEnd"/>
      <w:r w:rsidRPr="00A645E0">
        <w:rPr>
          <w:rFonts w:ascii="Times New Roman" w:hAnsi="Times New Roman" w:cs="Times New Roman"/>
          <w:sz w:val="32"/>
          <w:szCs w:val="32"/>
          <w:lang w:val="en-US"/>
        </w:rPr>
        <w:t>, Royal Danish Academy of Fine Arts, Schools of Architecture</w:t>
      </w:r>
    </w:p>
    <w:p w14:paraId="56032446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A645E0">
        <w:rPr>
          <w:rFonts w:ascii="Times New Roman" w:hAnsi="Times New Roman" w:cs="Times New Roman"/>
          <w:sz w:val="32"/>
          <w:szCs w:val="32"/>
          <w:lang w:val="en-US"/>
        </w:rPr>
        <w:t>Inger Berling Hyams, Roskilde University</w:t>
      </w:r>
    </w:p>
    <w:p w14:paraId="519377A2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p w14:paraId="21615267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...</w:t>
      </w:r>
    </w:p>
    <w:p w14:paraId="2DA2F703" w14:textId="77777777" w:rsidR="00A645E0" w:rsidRDefault="00A645E0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 </w:t>
      </w:r>
    </w:p>
    <w:p w14:paraId="5FEAED67" w14:textId="77777777" w:rsidR="00A645E0" w:rsidRPr="00320E59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outlineLvl w:val="0"/>
        <w:rPr>
          <w:rFonts w:asciiTheme="majorHAnsi" w:hAnsiTheme="majorHAnsi"/>
          <w:sz w:val="28"/>
          <w:szCs w:val="28"/>
          <w:lang w:val="en-GB" w:eastAsia="ja-JP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 </w:t>
      </w:r>
      <w:r>
        <w:rPr>
          <w:rFonts w:asciiTheme="majorHAnsi" w:hAnsiTheme="majorHAnsi"/>
          <w:sz w:val="28"/>
          <w:szCs w:val="28"/>
          <w:lang w:val="en-GB" w:eastAsia="ja-JP"/>
        </w:rPr>
        <w:t xml:space="preserve">Architecture Drawing Topology </w:t>
      </w:r>
    </w:p>
    <w:p w14:paraId="52A274EA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outlineLvl w:val="0"/>
        <w:rPr>
          <w:rFonts w:asciiTheme="majorHAnsi" w:hAnsiTheme="majorHAnsi"/>
          <w:sz w:val="22"/>
          <w:szCs w:val="22"/>
          <w:lang w:val="en-GB" w:eastAsia="ja-JP"/>
        </w:rPr>
      </w:pPr>
    </w:p>
    <w:p w14:paraId="3D6C0F72" w14:textId="77777777" w:rsidR="00A645E0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75996B77" w14:textId="77777777" w:rsidR="00A645E0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>
        <w:rPr>
          <w:rFonts w:asciiTheme="majorHAnsi" w:hAnsiTheme="majorHAnsi"/>
          <w:sz w:val="22"/>
          <w:szCs w:val="22"/>
          <w:lang w:val="en-GB" w:eastAsia="ja-JP"/>
        </w:rPr>
        <w:t xml:space="preserve">The book </w:t>
      </w:r>
      <w:r>
        <w:rPr>
          <w:rFonts w:asciiTheme="majorHAnsi" w:hAnsiTheme="majorHAnsi"/>
          <w:i/>
          <w:sz w:val="22"/>
          <w:szCs w:val="22"/>
          <w:lang w:val="en-GB" w:eastAsia="ja-JP"/>
        </w:rPr>
        <w:t xml:space="preserve">Architecture Drawing Topology 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is a collection of essays from prominent researchers in the fields of 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in architecture, </w:t>
      </w:r>
      <w:r>
        <w:rPr>
          <w:rFonts w:asciiTheme="majorHAnsi" w:hAnsiTheme="majorHAnsi"/>
          <w:sz w:val="22"/>
          <w:szCs w:val="22"/>
          <w:lang w:val="en-GB" w:eastAsia="ja-JP"/>
        </w:rPr>
        <w:t>media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 and culture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. The 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>point of departure for the publication is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 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>a series of seminars on contemporary conditions for establishing and working build environments approached as “ (…) a cartography that is coextensive with the whole social field” (</w:t>
      </w:r>
      <w:proofErr w:type="spellStart"/>
      <w:r w:rsidRPr="00A83E92">
        <w:rPr>
          <w:rFonts w:asciiTheme="majorHAnsi" w:hAnsiTheme="majorHAnsi"/>
          <w:sz w:val="22"/>
          <w:szCs w:val="22"/>
          <w:lang w:val="en-GB" w:eastAsia="ja-JP"/>
        </w:rPr>
        <w:t>Deleuze</w:t>
      </w:r>
      <w:proofErr w:type="spellEnd"/>
      <w:r w:rsidRPr="00A83E92">
        <w:rPr>
          <w:rFonts w:asciiTheme="majorHAnsi" w:hAnsiTheme="majorHAnsi"/>
          <w:sz w:val="22"/>
          <w:szCs w:val="22"/>
          <w:lang w:val="en-GB" w:eastAsia="ja-JP"/>
        </w:rPr>
        <w:t>)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 conducted at the Greek island of Hydra since 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the beginning of the 2000s 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by 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The Royal Danish Academy of Fine Arts, Schools of Architecture, Design and Conservation (KADK), </w:t>
      </w:r>
      <w:r w:rsidRPr="00A83E92">
        <w:rPr>
          <w:rFonts w:asciiTheme="majorHAnsi" w:hAnsiTheme="majorHAnsi"/>
          <w:i/>
          <w:sz w:val="22"/>
          <w:szCs w:val="22"/>
          <w:lang w:val="en-GB" w:eastAsia="ja-JP"/>
        </w:rPr>
        <w:t>Architecture, Space and Form - Study Department 6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 in Copenhagen.</w:t>
      </w:r>
    </w:p>
    <w:p w14:paraId="19BCB961" w14:textId="77777777" w:rsidR="00A645E0" w:rsidRPr="00EE1439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78208F88" w14:textId="77777777" w:rsidR="00A645E0" w:rsidRDefault="00A645E0" w:rsidP="00A645E0">
      <w:pPr>
        <w:widowControl w:val="0"/>
        <w:tabs>
          <w:tab w:val="left" w:pos="1418"/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 w:rsidRPr="00A83E92">
        <w:rPr>
          <w:rFonts w:asciiTheme="majorHAnsi" w:hAnsiTheme="majorHAnsi"/>
          <w:sz w:val="22"/>
          <w:szCs w:val="22"/>
          <w:lang w:val="en-GB"/>
        </w:rPr>
        <w:t xml:space="preserve">The Hydra project has sought to provoke a </w:t>
      </w:r>
      <w:r w:rsidRPr="00A83E92">
        <w:rPr>
          <w:rFonts w:asciiTheme="majorHAnsi" w:hAnsiTheme="majorHAnsi"/>
          <w:i/>
          <w:sz w:val="22"/>
          <w:szCs w:val="22"/>
          <w:lang w:val="en-GB"/>
        </w:rPr>
        <w:t xml:space="preserve">mode </w:t>
      </w:r>
      <w:r w:rsidRPr="00A83E92">
        <w:rPr>
          <w:rFonts w:asciiTheme="majorHAnsi" w:hAnsiTheme="majorHAnsi"/>
          <w:sz w:val="22"/>
          <w:szCs w:val="22"/>
          <w:lang w:val="en-GB"/>
        </w:rPr>
        <w:t xml:space="preserve">of operation in between the real and the virtual which may be said to hold the sensing body as its pivot along with the phenomenology of the object; </w:t>
      </w:r>
      <w:proofErr w:type="spellStart"/>
      <w:r w:rsidRPr="00A83E92">
        <w:rPr>
          <w:rFonts w:asciiTheme="majorHAnsi" w:hAnsiTheme="majorHAnsi"/>
          <w:i/>
          <w:sz w:val="22"/>
          <w:szCs w:val="22"/>
          <w:lang w:val="en-GB"/>
        </w:rPr>
        <w:t>omnipresently</w:t>
      </w:r>
      <w:proofErr w:type="spellEnd"/>
      <w:r w:rsidRPr="00A83E92">
        <w:rPr>
          <w:rFonts w:asciiTheme="majorHAnsi" w:hAnsiTheme="majorHAnsi"/>
          <w:i/>
          <w:sz w:val="22"/>
          <w:szCs w:val="22"/>
          <w:lang w:val="en-GB"/>
        </w:rPr>
        <w:t xml:space="preserve"> considering and shaping virtual constructions </w:t>
      </w:r>
      <w:r w:rsidRPr="00A83E92">
        <w:rPr>
          <w:rFonts w:asciiTheme="majorHAnsi" w:hAnsiTheme="majorHAnsi"/>
          <w:sz w:val="22"/>
          <w:szCs w:val="22"/>
          <w:lang w:val="en-GB"/>
        </w:rPr>
        <w:t xml:space="preserve">capable of </w:t>
      </w:r>
      <w:proofErr w:type="spellStart"/>
      <w:r w:rsidRPr="00A83E92">
        <w:rPr>
          <w:rFonts w:asciiTheme="majorHAnsi" w:hAnsiTheme="majorHAnsi"/>
          <w:sz w:val="22"/>
          <w:szCs w:val="22"/>
          <w:lang w:val="en-GB"/>
        </w:rPr>
        <w:t>instrumentalizing</w:t>
      </w:r>
      <w:proofErr w:type="spellEnd"/>
      <w:r w:rsidRPr="00A83E92">
        <w:rPr>
          <w:rFonts w:asciiTheme="majorHAnsi" w:hAnsiTheme="majorHAnsi"/>
          <w:sz w:val="22"/>
          <w:szCs w:val="22"/>
          <w:lang w:val="en-GB"/>
        </w:rPr>
        <w:t xml:space="preserve"> ambiguity and opening up to a topological production of meaning. The observational body of drawings constitute a topological landscape with a great many parallels to the architectural context in which we find ourselves today. It may be described </w:t>
      </w:r>
      <w:r w:rsidRPr="00A83E92">
        <w:rPr>
          <w:rFonts w:asciiTheme="majorHAnsi" w:hAnsiTheme="majorHAnsi"/>
          <w:i/>
          <w:sz w:val="22"/>
          <w:szCs w:val="22"/>
          <w:lang w:val="en-GB"/>
        </w:rPr>
        <w:t>in</w:t>
      </w:r>
      <w:r w:rsidRPr="00A83E92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A83E92">
        <w:rPr>
          <w:rFonts w:asciiTheme="majorHAnsi" w:hAnsiTheme="majorHAnsi"/>
          <w:i/>
          <w:sz w:val="22"/>
          <w:szCs w:val="22"/>
          <w:lang w:val="en-GB"/>
        </w:rPr>
        <w:t>time and space</w:t>
      </w:r>
      <w:r w:rsidRPr="00A83E92">
        <w:rPr>
          <w:rFonts w:asciiTheme="majorHAnsi" w:hAnsiTheme="majorHAnsi"/>
          <w:sz w:val="22"/>
          <w:szCs w:val="22"/>
          <w:lang w:val="en-GB"/>
        </w:rPr>
        <w:t> as a complex traversed by forces, information, and synergy</w:t>
      </w:r>
      <w:proofErr w:type="gramStart"/>
      <w:r w:rsidRPr="00A83E92">
        <w:rPr>
          <w:rFonts w:asciiTheme="majorHAnsi" w:hAnsiTheme="majorHAnsi"/>
          <w:sz w:val="22"/>
          <w:szCs w:val="22"/>
          <w:lang w:val="en-GB"/>
        </w:rPr>
        <w:t>;</w:t>
      </w:r>
      <w:proofErr w:type="gramEnd"/>
      <w:r w:rsidRPr="00A83E92">
        <w:rPr>
          <w:rFonts w:asciiTheme="majorHAnsi" w:hAnsiTheme="majorHAnsi"/>
          <w:sz w:val="22"/>
          <w:szCs w:val="22"/>
          <w:lang w:val="en-GB"/>
        </w:rPr>
        <w:t xml:space="preserve"> expressing and configuring varied and ambiguous significances through constellations that are both real and virtual.</w:t>
      </w:r>
    </w:p>
    <w:p w14:paraId="142F57AF" w14:textId="77777777" w:rsidR="00A645E0" w:rsidRDefault="00A645E0" w:rsidP="00A645E0">
      <w:pPr>
        <w:widowControl w:val="0"/>
        <w:tabs>
          <w:tab w:val="left" w:pos="1418"/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7743910A" w14:textId="77777777" w:rsidR="00A645E0" w:rsidRPr="00B534EC" w:rsidRDefault="00A645E0" w:rsidP="00A645E0">
      <w:pPr>
        <w:widowControl w:val="0"/>
        <w:tabs>
          <w:tab w:val="left" w:pos="1418"/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The book </w:t>
      </w:r>
      <w:r>
        <w:rPr>
          <w:rFonts w:asciiTheme="majorHAnsi" w:hAnsiTheme="majorHAnsi"/>
          <w:sz w:val="22"/>
          <w:szCs w:val="22"/>
          <w:lang w:val="en-GB" w:eastAsia="ja-JP"/>
        </w:rPr>
        <w:t>is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 illustrated with original work from the Hydra project </w:t>
      </w:r>
      <w:r>
        <w:rPr>
          <w:rFonts w:asciiTheme="majorHAnsi" w:hAnsiTheme="majorHAnsi"/>
          <w:sz w:val="22"/>
          <w:szCs w:val="22"/>
          <w:lang w:val="en-GB" w:eastAsia="ja-JP"/>
        </w:rPr>
        <w:t>and t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>he intention is that the essays and the drawings esta</w:t>
      </w:r>
      <w:r>
        <w:rPr>
          <w:rFonts w:asciiTheme="majorHAnsi" w:hAnsiTheme="majorHAnsi"/>
          <w:sz w:val="22"/>
          <w:szCs w:val="22"/>
          <w:lang w:val="en-GB" w:eastAsia="ja-JP"/>
        </w:rPr>
        <w:t>blish a dialogue of sorts. A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s such </w:t>
      </w:r>
      <w:r>
        <w:rPr>
          <w:rFonts w:asciiTheme="majorHAnsi" w:hAnsiTheme="majorHAnsi"/>
          <w:sz w:val="22"/>
          <w:szCs w:val="22"/>
          <w:lang w:val="en-GB" w:eastAsia="ja-JP"/>
        </w:rPr>
        <w:t>the book addresses an important problem in design research namely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 how and to what extend research in the form of drawing can inform theory development and 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more specifically 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reflection on topology and architecture. 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The essays in the book 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range from the intricate issues of the imagination and the topologies of the mind in space, over surveillance, netted forms, and urban topology, to the </w:t>
      </w:r>
      <w:proofErr w:type="spellStart"/>
      <w:r w:rsidRPr="00A83E92">
        <w:rPr>
          <w:rFonts w:asciiTheme="majorHAnsi" w:hAnsiTheme="majorHAnsi"/>
          <w:sz w:val="22"/>
          <w:szCs w:val="22"/>
          <w:lang w:val="en-GB" w:eastAsia="ja-JP"/>
        </w:rPr>
        <w:t>mereotopology</w:t>
      </w:r>
      <w:proofErr w:type="spellEnd"/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 of computed architectural events and dynamics of transduction in the contemporary artificial environment.</w:t>
      </w:r>
    </w:p>
    <w:p w14:paraId="76201CDF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49009B1C" w14:textId="77777777" w:rsidR="00A645E0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The Hydra project has developed a strategic and reflective approach to the artificial environments of today’s world which may be seen as an aesthetic proposal for design acknowledging prior articulated and existing </w:t>
      </w:r>
      <w:proofErr w:type="spellStart"/>
      <w:r w:rsidRPr="00A83E92">
        <w:rPr>
          <w:rFonts w:asciiTheme="majorHAnsi" w:hAnsiTheme="majorHAnsi"/>
          <w:sz w:val="22"/>
          <w:szCs w:val="22"/>
          <w:lang w:val="en-GB" w:eastAsia="ja-JP"/>
        </w:rPr>
        <w:t>materialities</w:t>
      </w:r>
      <w:proofErr w:type="spellEnd"/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 and matters. The project can be said to operate in the dense and vibrant complexity of matter resulting from 200 years of modernity – from megacities over ruined landscapes, to the ever increasing glut of material culture, as well as environmental issues; i.e. forces, forms, and energies, which may be treated productively by accepting that architecture and design is taking place in a world of dynamic, continuous and virtually underwritten and thus transversal artifice. Three important problems 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has 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>emerge out of this serve as a structural sectioning of the book</w:t>
      </w:r>
      <w:r>
        <w:rPr>
          <w:rFonts w:asciiTheme="majorHAnsi" w:hAnsiTheme="majorHAnsi"/>
          <w:sz w:val="22"/>
          <w:szCs w:val="22"/>
          <w:lang w:val="en-GB" w:eastAsia="ja-JP"/>
        </w:rPr>
        <w:t>:</w:t>
      </w:r>
    </w:p>
    <w:p w14:paraId="374B6401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6248443E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1: Drawing: Topology and Morphology. </w:t>
      </w:r>
    </w:p>
    <w:p w14:paraId="096EDC1D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7CFEF2FD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 w:rsidRPr="00A83E92">
        <w:rPr>
          <w:rFonts w:asciiTheme="majorHAnsi" w:hAnsiTheme="majorHAnsi"/>
          <w:sz w:val="22"/>
          <w:szCs w:val="22"/>
          <w:lang w:val="en-GB" w:eastAsia="ja-JP"/>
        </w:rPr>
        <w:t>What are the options and implications of the continuity between projects, e.g. as expressed in drawings and the world: when drawing does not function as representation but as enactive working of a cartographic material, which feed back into the topologies engendered?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 How does plasticity and changes of state in drawing relate to the underlying structures?</w:t>
      </w:r>
    </w:p>
    <w:p w14:paraId="5BBCC56D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73EEC7A0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2: Cartography: Topology and Morphology. </w:t>
      </w:r>
    </w:p>
    <w:p w14:paraId="2A6D4DF2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3E540A77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What is the ‘flesh’ underwriting the mesh/tissues indicated above which enable diagrams and working of elements and entities apprehended from cartography and reinserted into transformations of real structures of artifice, e.g. in urban areas </w:t>
      </w:r>
      <w:r w:rsidRPr="00A83E92">
        <w:rPr>
          <w:rFonts w:asciiTheme="majorHAnsi" w:hAnsiTheme="majorHAnsi"/>
          <w:sz w:val="22"/>
          <w:szCs w:val="22"/>
          <w:lang w:val="en-GB"/>
        </w:rPr>
        <w:t>as new domain and scales?</w:t>
      </w: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 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How does ‘topological architecture’ function in the entirety of the social field? </w:t>
      </w:r>
    </w:p>
    <w:p w14:paraId="392250FF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748A1156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 w:rsidRPr="00A83E92">
        <w:rPr>
          <w:rFonts w:asciiTheme="majorHAnsi" w:hAnsiTheme="majorHAnsi"/>
          <w:sz w:val="22"/>
          <w:szCs w:val="22"/>
          <w:lang w:val="en-GB" w:eastAsia="ja-JP"/>
        </w:rPr>
        <w:t xml:space="preserve">3: Aesthetics: Topology and Morphology. </w:t>
      </w:r>
    </w:p>
    <w:p w14:paraId="6FC8141D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</w:p>
    <w:p w14:paraId="69B890BF" w14:textId="77777777" w:rsidR="00A645E0" w:rsidRPr="00A83E92" w:rsidRDefault="00A645E0" w:rsidP="00A645E0">
      <w:pPr>
        <w:widowControl w:val="0"/>
        <w:tabs>
          <w:tab w:val="left" w:pos="9923"/>
        </w:tabs>
        <w:autoSpaceDE w:val="0"/>
        <w:autoSpaceDN w:val="0"/>
        <w:adjustRightInd w:val="0"/>
        <w:ind w:right="-93"/>
        <w:rPr>
          <w:rFonts w:asciiTheme="majorHAnsi" w:hAnsiTheme="majorHAnsi"/>
          <w:sz w:val="22"/>
          <w:szCs w:val="22"/>
          <w:lang w:val="en-GB" w:eastAsia="ja-JP"/>
        </w:rPr>
      </w:pPr>
      <w:r w:rsidRPr="00A83E92">
        <w:rPr>
          <w:rFonts w:asciiTheme="majorHAnsi" w:hAnsiTheme="majorHAnsi"/>
          <w:sz w:val="22"/>
          <w:szCs w:val="22"/>
          <w:lang w:val="en-GB" w:eastAsia="ja-JP"/>
        </w:rPr>
        <w:t>How does the aesthetics of the drawings/drawn matter produce reflections and knowledge forms, in particular perhaps, what is the role and potential of the intensities of computer based rendering, data resources and media?</w:t>
      </w:r>
      <w:r>
        <w:rPr>
          <w:rFonts w:asciiTheme="majorHAnsi" w:hAnsiTheme="majorHAnsi"/>
          <w:sz w:val="22"/>
          <w:szCs w:val="22"/>
          <w:lang w:val="en-GB" w:eastAsia="ja-JP"/>
        </w:rPr>
        <w:t xml:space="preserve"> </w:t>
      </w:r>
    </w:p>
    <w:p w14:paraId="6895E519" w14:textId="77777777" w:rsidR="00EE446C" w:rsidRPr="00A645E0" w:rsidRDefault="00EE446C" w:rsidP="00A645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E446C" w:rsidRPr="00A645E0" w:rsidSect="00EE446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E0"/>
    <w:rsid w:val="004B3D29"/>
    <w:rsid w:val="00A645E0"/>
    <w:rsid w:val="00E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973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4301</Characters>
  <Application>Microsoft Macintosh Word</Application>
  <DocSecurity>0</DocSecurity>
  <Lines>35</Lines>
  <Paragraphs>9</Paragraphs>
  <ScaleCrop>false</ScaleCrop>
  <Company>RUC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Berling Hyams</dc:creator>
  <cp:keywords/>
  <dc:description/>
  <cp:lastModifiedBy>Inger Berling Hyams</cp:lastModifiedBy>
  <cp:revision>2</cp:revision>
  <dcterms:created xsi:type="dcterms:W3CDTF">2016-10-17T13:41:00Z</dcterms:created>
  <dcterms:modified xsi:type="dcterms:W3CDTF">2016-10-17T13:41:00Z</dcterms:modified>
</cp:coreProperties>
</file>